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القنوت في الوتر-كتاب الصلاة-سنن أبي داود — رقم الحديث: 1425 — الرقم الفرعي: 99 — الرقم الأصلي: 1425</w:t>
        <w:br/>
      </w:r>
      <w:r>
        <w:rPr>
          <w:rtl w:val="1"/>
        </w:rPr>
        <w:t xml:space="preserve"> حدثنا قتية بن سعيد و أحمد بن جوّاس الحنفيّ قالا:ثنا أبو الأحوص عن أبي إسحاق عن بريد بن أبي مريم عن أبي الحوراء قال:قال الحسن بن عليّ رضي الله عنهما</w:t>
        <w:br/>
      </w:r>
      <w:r>
        <w:rPr>
          <w:color w:val="FF0000"/>
          <w:rtl w:val="1"/>
        </w:rPr>
        <w:t xml:space="preserve">عَلَّمني رسولُ الله ﷺ كلماتٍ أقولُهُنَّ في الوِتر - قال ابن جوَّاس في قنوتِ الوتر -:  </w:t>
      </w:r>
      <w:r>
        <w:rPr>
          <w:color w:val="FF0000"/>
          <w:rtl w:val="1"/>
        </w:rPr>
        <w:t xml:space="preserve">«اللهُم اهْدِني فيمَنْ هَدَيتَ، وعافِني فيمَنْ عافَيْتَ، وتَوَلني فيمَنْ تَوَلَّيتَ، وبارِكْ لي فيما أعطيتَ، وقني شَرَّ ما قَضَيْتَ، إئك تقضي ولا يُقضَى عَليك، وإنه لا يَذلُّ مَنْ وَالَيتَ، تبارَكْت رَبَّنا وتَعَالَيتَ». </w:t>
      </w:r>
    </w:p>
    <w:p>
      <w:pPr>
        <w:bidi w:val="1"/>
        <w:jc w:val="start"/>
      </w:pPr>
      <w:r>
        <w:rPr>
          <w:rtl w:val="1"/>
        </w:rPr>
        <w:t>درجة الحديث: صحيح / صحيح</w:t>
      </w:r>
    </w:p>
    <w:p>
      <w:pPr>
        <w:bidi w:val="1"/>
        <w:jc w:val="start"/>
      </w:pPr>
      <w:r>
        <w:rPr>
          <w:rtl w:val="1"/>
        </w:rPr>
        <w:t>الشرح: الدلالة: التصور الإسلامي للالوهية - التصور الإسلامي</w:t>
      </w:r>
    </w:p>
    <w:p>
      <w:pPr>
        <w:bidi w:val="1"/>
        <w:jc w:val="start"/>
      </w:pPr>
      <w:r>
        <w:rPr>
          <w:rtl w:val="1"/>
        </w:rPr>
        <w:t>الشرح: الدلالة: آداب الدعاء - الآداب الاجتماعية</w:t>
      </w:r>
    </w:p>
    <w:p>
      <w:pPr>
        <w:bidi w:val="1"/>
        <w:jc w:val="start"/>
      </w:pPr>
      <w:r>
        <w:rPr>
          <w:rtl w:val="1"/>
        </w:rPr>
        <w:t>الشرح: الدلالة: الثناء على الله - مظاهر توحيد الألوهية</w:t>
      </w:r>
    </w:p>
    <w:p>
      <w:pPr>
        <w:bidi w:val="1"/>
        <w:jc w:val="start"/>
      </w:pPr>
      <w:r>
        <w:rPr>
          <w:rtl w:val="1"/>
        </w:rPr>
        <w:t>الشرح: الدلالة: الصلوات والأحوال التي يقنت فيها - القنوت</w:t>
      </w:r>
    </w:p>
    <w:p>
      <w:pPr>
        <w:bidi w:val="1"/>
        <w:jc w:val="start"/>
      </w:pPr>
      <w:r>
        <w:rPr>
          <w:rtl w:val="1"/>
        </w:rPr>
        <w:t>الشرح: الدلالة: أدعية القنوت - القنوت</w:t>
      </w:r>
    </w:p>
    <w:p>
      <w:pPr>
        <w:bidi w:val="1"/>
        <w:jc w:val="start"/>
      </w:pPr>
      <w:r>
        <w:rPr>
          <w:rtl w:val="1"/>
        </w:rPr>
        <w:t>الشرح: الدلالة: القنوت في الوتر وأدعيته - صلاة الوتر</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التربية بالتلقين - الأساليب التربوية والتهذيبية</w:t>
      </w:r>
    </w:p>
    <w:p>
      <w:pPr>
        <w:bidi w:val="1"/>
        <w:jc w:val="start"/>
      </w:pPr>
      <w:r>
        <w:rPr>
          <w:rtl w:val="1"/>
        </w:rPr>
        <w:t>الشرح: الدلالة: القنوت في الصلاة - أذكار الصلاة وأدعيتها</w:t>
      </w:r>
    </w:p>
    <w:p>
      <w:pPr>
        <w:bidi w:val="1"/>
        <w:jc w:val="start"/>
      </w:pPr>
      <w:r>
        <w:rPr>
          <w:rtl w:val="1"/>
        </w:rPr>
        <w:t>الشرح: الدلالة: سؤال الهداية والسداد - فضل أدعية مخصوصة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