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4905 — الرقم الفرعي: 99 — الرقم الأصلي: 4905</w:t>
        <w:br/>
      </w:r>
      <w:r>
        <w:rPr>
          <w:rtl w:val="1"/>
        </w:rPr>
        <w:t xml:space="preserve"> حدثنا عليّ حدثنا سفيان قال عمرو سمعت جابر بن عبد الله رضي الله عنهما</w:t>
        <w:br/>
      </w:r>
      <w:r>
        <w:rPr>
          <w:color w:val="000000"/>
          <w:rtl w:val="1"/>
        </w:rPr>
        <w:t xml:space="preserve">قال: كنَّا في غَزاةٍ، فكَسَعَ رجلٌ منَ المهاجِرِينَ رجلًا منَ الأنصار،  </w:t>
      </w:r>
      <w:r>
        <w:rPr>
          <w:color w:val="FF0000"/>
          <w:rtl w:val="1"/>
        </w:rPr>
        <w:t xml:space="preserve">فقال الأنصاريُّ: يا لَلأنصارِ، وقال المهاجِرِيُّ: يا لَلمُهاجِرِينَ،  </w:t>
      </w:r>
      <w:r>
        <w:rPr>
          <w:color w:val="FF0000"/>
          <w:rtl w:val="1"/>
        </w:rPr>
        <w:t xml:space="preserve">فسَمِعَ ذاكَ رسولُ الله ﷺ، فقال: «ما بالُ دَعْوَى جاهليَّةٍ؟».  </w:t>
      </w:r>
      <w:r>
        <w:rPr>
          <w:color w:val="000000"/>
          <w:rtl w:val="1"/>
        </w:rPr>
        <w:t xml:space="preserve">قالوا: يا رسولَ الله، كَسَعَ رجلٌ منَ المهاجِرِينَ رجلًا منَ الأنصار،  </w:t>
      </w:r>
      <w:r>
        <w:rPr>
          <w:color w:val="FF0000"/>
          <w:rtl w:val="1"/>
        </w:rPr>
        <w:t xml:space="preserve">فقال: «دَعُوها، فإنَّها مُنْتِنةٌ».  </w:t>
      </w:r>
      <w:r>
        <w:rPr>
          <w:color w:val="000000"/>
          <w:rtl w:val="1"/>
        </w:rPr>
        <w:t xml:space="preserve">فسَمِعَ بذلكَ عبدُ الله بنُ أُبيٍّ، فقال: فَعَلُوها، أمَا والله لَئِنْ رَجَعْنا إلى المدينةِ لَيُخْرِجَنَّ الأعَزُّ منها الأذَلَّ،  </w:t>
      </w:r>
      <w:r>
        <w:rPr>
          <w:color w:val="FF0000"/>
          <w:rtl w:val="1"/>
        </w:rPr>
        <w:t xml:space="preserve">فبَلَغَ النبيَّ ﷺ، فقامَ عمرُ فقال: يا رسولَ الله، دَعْني أضرِبْ عُنُقَ هذا المنافقِ،  </w:t>
      </w:r>
      <w:r>
        <w:rPr>
          <w:color w:val="FF0000"/>
          <w:rtl w:val="1"/>
        </w:rPr>
        <w:t xml:space="preserve">فقال النبيُّ ﷺ: «دَعْه، لا يَتَحدَّثُ النّاسُ أنَّ محمَّدًا يَقتُلُ أصحابَه». </w:t>
      </w:r>
      <w:r>
        <w:rPr>
          <w:color w:val="000000"/>
          <w:rtl w:val="1"/>
        </w:rPr>
        <w:t xml:space="preserve">وكانتِ الأنصارُ أكثرَ منَ المهاجِرِينَ حينَ قَدِموا المدينةَ، ثمَّ إنَّ المهاجِرِينَ كَثُروا بعدُ. </w:t>
      </w:r>
      <w:r>
        <w:rPr>
          <w:color w:val="000000"/>
          <w:rtl w:val="1"/>
        </w:rPr>
        <w:t xml:space="preserve">قال سفيانُ: فحَفِظْتُه من عَمرٍو، قال عَمرٌو: سمعتُ جابرًا، كنَّا مع النبيِّ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ضبط الصدر - ضبط الحديث</w:t>
      </w:r>
    </w:p>
    <w:p>
      <w:pPr>
        <w:bidi w:val="1"/>
        <w:jc w:val="start"/>
      </w:pPr>
      <w:r>
        <w:rPr>
          <w:rtl w:val="1"/>
        </w:rPr>
        <w:t>الشرح: الدلالة: قيمة مسؤولية الحرص على وحدة الأمة - قيم المسؤولية</w:t>
      </w:r>
    </w:p>
    <w:p>
      <w:pPr>
        <w:bidi w:val="1"/>
        <w:jc w:val="start"/>
      </w:pPr>
      <w:r>
        <w:rPr>
          <w:rtl w:val="1"/>
        </w:rPr>
        <w:t>الشرح: الدلالة: قيمة مراعاة المصلحة العامة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ثانيًا: قيمة العفو عند المقدرة - مظاهر ضبط الانفعالات والعواطف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