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أحبّ الأسماء إلى الله عزّ وجلّ-كتاب الأدب-صحيح البخاري — رقم الحديث: 6186 — الرقم الفرعي: 99 — الرقم الأصلي: 6186</w:t>
        <w:br/>
      </w:r>
      <w:r>
        <w:rPr>
          <w:rtl w:val="1"/>
        </w:rPr>
        <w:t xml:space="preserve"> حدثنا صدقة بن الفضل أخبرنا ابن عيينة حدثنا ابن المنكدر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وُلِدَ لرجلٍ مِنّا غلامٌ، فسَمّاه القاسمَ،  </w:t>
      </w:r>
      <w:r>
        <w:rPr>
          <w:color w:val="000000"/>
          <w:rtl w:val="1"/>
        </w:rPr>
        <w:t xml:space="preserve">فقلنا: لا نَكْنِيكَ أبا القاسمِ ولا كَرامةَ،  </w:t>
      </w:r>
      <w:r>
        <w:rPr>
          <w:color w:val="FF0000"/>
          <w:rtl w:val="1"/>
        </w:rPr>
        <w:t xml:space="preserve">فأخبَر النبيَّ ﷺ فقال: «سَمِّ ابنَكَ عَبْدَ الرَّحمن». 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