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الدخول في الصوم يحصل بطلوع الفجر،وأن له الأكل وغيره حتى يطلع الفجر *-كتاب الصيام-صحيح مسلم — رقم الحديث: 1094 — الرقم الفرعي: 1 — الرقم الأصلي: 1094</w:t>
        <w:br/>
      </w:r>
      <w:r>
        <w:rPr>
          <w:rtl w:val="1"/>
        </w:rPr>
        <w:t xml:space="preserve"> حدثنا شيبان بن فرّوخ حدثنا عبد الوارث عن عبد الله بن سوادة القشيريّ حدثني والدي أنه سمع سَمُرَة بن جُندُب يقول:سمعت محمداً صلى الله عليه وسلم</w:t>
        <w:br/>
      </w:r>
      <w:r>
        <w:rPr>
          <w:color w:val="FF0000"/>
          <w:rtl w:val="1"/>
        </w:rPr>
        <w:t xml:space="preserve">يقول: لا يَغُرّنَّ أحدَكُم نداءُ بِلالٍ من السّحور،  </w:t>
      </w:r>
      <w:r>
        <w:rPr>
          <w:color w:val="FF0000"/>
          <w:rtl w:val="1"/>
        </w:rPr>
        <w:t xml:space="preserve">ولا هذا البَياضُ حتى يَستَطير.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تأخير السحور - الصيام والتغذية</w:t>
      </w:r>
    </w:p>
    <w:p>
      <w:pPr>
        <w:bidi w:val="1"/>
        <w:jc w:val="start"/>
      </w:pPr>
      <w:r>
        <w:rPr>
          <w:rtl w:val="1"/>
        </w:rPr>
        <w:t>الشرح: الدلالة: وقت الإمساك في أول أمر الصيام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الإمساك عند طلوع الفجر الصادق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المؤذنون والأئمة والخطباء اللذين ولاهم صلى الله عليه وسلم وسياسته صلى الله عليه وسلم في توليتهم.////////////////////////////</w:t>
      </w:r>
    </w:p>
    <w:p>
      <w:pPr>
        <w:bidi w:val="1"/>
        <w:jc w:val="start"/>
      </w:pPr>
      <w:r>
        <w:rPr>
          <w:rtl w:val="1"/>
        </w:rPr>
        <w:t>الشرح: الدلالة: الأذان قبل الفجر لتنبيه النائم - أسباب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