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الذبيحة بالمروة-كتاب الذبائح-سنن الترمذي — رقم الحديث: 1472 — الرقم الفرعي: 99 — الرقم الأصلي: 1472</w:t>
        <w:br/>
      </w:r>
      <w:r>
        <w:rPr>
          <w:rtl w:val="1"/>
        </w:rPr>
        <w:t xml:space="preserve"> حدثنا محمد بن يحيى القطعيّ حدثنا عبد الأعلى عن سعيد عن قتادة عن الشعبيّ عن جابر بن عبد الله</w:t>
        <w:br/>
      </w:r>
      <w:r>
        <w:rPr>
          <w:color w:val="FF0000"/>
          <w:rtl w:val="1"/>
        </w:rPr>
        <w:t xml:space="preserve">أنَّ رجلًا مِن قَومِه صادَ أَرنبًا أو ثنتَين، فذَبَحهُما بمَرْوةٍ،  </w:t>
      </w:r>
      <w:r>
        <w:rPr>
          <w:color w:val="FF0000"/>
          <w:rtl w:val="1"/>
        </w:rPr>
        <w:t xml:space="preserve">فتعلَّقَهما، حتى لقيَ رسولَ الله ﷺ فسأَلَه، فأَمرَه بأَكلِهِما. </w:t>
      </w:r>
      <w:r>
        <w:rPr>
          <w:color w:val="000000"/>
          <w:rtl w:val="1"/>
        </w:rPr>
        <w:t xml:space="preserve">وفي البابِ عن محمدِ بنِ صَفوان، ورافعٍ، وعَديِّ بنِ حاتم. </w:t>
      </w:r>
      <w:r>
        <w:rPr>
          <w:color w:val="000000"/>
          <w:rtl w:val="1"/>
        </w:rPr>
        <w:t xml:space="preserve">وقد رَخَّصَ بعضُ أَهلِ العِلمِ في أن يُذَكَّى بمَرْوة،  </w:t>
      </w:r>
      <w:r>
        <w:rPr>
          <w:color w:val="000000"/>
          <w:rtl w:val="1"/>
        </w:rPr>
        <w:t xml:space="preserve">ولم يَرَوا بأَكلِ الأَرنبِ بأسًا،  </w:t>
      </w:r>
      <w:r>
        <w:rPr>
          <w:color w:val="000000"/>
          <w:rtl w:val="1"/>
        </w:rPr>
        <w:t xml:space="preserve">وهو قولُ أَكثرِ أَهل العِلم.  </w:t>
      </w:r>
      <w:r>
        <w:rPr>
          <w:color w:val="000000"/>
          <w:rtl w:val="1"/>
        </w:rPr>
        <w:t xml:space="preserve">وقد كَرِهَ بعضُهم أَكلَ الأَرنب. </w:t>
      </w:r>
      <w:r>
        <w:rPr>
          <w:color w:val="000000"/>
          <w:rtl w:val="1"/>
        </w:rPr>
        <w:t xml:space="preserve">وقد اختَلف أَصحابُ الشَّعبيِّ في روايةِ هذا الحديث؛ فرَوى داودُ بن أَبي هندٍ، عن الشَّعبيِّ، عن محمدِ بنِ صفوان. </w:t>
      </w:r>
      <w:r>
        <w:rPr>
          <w:color w:val="000000"/>
          <w:rtl w:val="1"/>
        </w:rPr>
        <w:t xml:space="preserve">ورَوى عاصمٌ الأَحول، عن الشَّعبيِّ، عن صَفوانَ بن محمد، أو محمدِ بنِ صَفوان.  </w:t>
      </w:r>
      <w:r>
        <w:rPr>
          <w:color w:val="000000"/>
          <w:rtl w:val="1"/>
        </w:rPr>
        <w:t xml:space="preserve">ومحمدُ بنُ صفوانَ أَصَحّ. </w:t>
      </w:r>
      <w:r>
        <w:rPr>
          <w:color w:val="000000"/>
          <w:rtl w:val="1"/>
        </w:rPr>
        <w:t xml:space="preserve">ورَوى جابرٌ الجُعْفيُّ عن الشَّعبيِّ عن جابر بنِ عبدِ الله، نحوَ حديثِ قَتادةَ عن الشَّعبيِّ، ويُحتمل أن يكون الشَّعبيُّ رَوى عنهما جميعًا. </w:t>
      </w:r>
      <w:r>
        <w:rPr>
          <w:color w:val="000000"/>
          <w:rtl w:val="1"/>
        </w:rPr>
        <w:t xml:space="preserve">قال محمّد: حديثُ الشَّعبيِّ عن جابرٍ غيرُ محفوظ.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الصيد - استغلال الموارد</w:t>
      </w:r>
    </w:p>
    <w:p>
      <w:pPr>
        <w:bidi w:val="1"/>
        <w:jc w:val="start"/>
      </w:pPr>
      <w:r>
        <w:rPr>
          <w:rtl w:val="1"/>
        </w:rPr>
        <w:t>الشرح: الدلالة: الأرنب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