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تحزيب القرآن-كتاب الصلاة-سنن أبي داود — رقم الحديث: 1396 — الرقم الفرعي: 99 — الرقم الأصلي: 1396</w:t>
        <w:br/>
      </w:r>
      <w:r>
        <w:rPr>
          <w:rtl w:val="1"/>
        </w:rPr>
        <w:t xml:space="preserve"> حدثنا عبّاد بن موسى أخبرنا إسماعيل بن جعفر عن إسرائيل عن أبي إسحاق عن علقمة و الأسود</w:t>
        <w:br/>
      </w:r>
      <w:r>
        <w:rPr>
          <w:color w:val="000000"/>
          <w:rtl w:val="1"/>
        </w:rPr>
        <w:t xml:space="preserve">قالا:  </w:t>
      </w:r>
      <w:r>
        <w:rPr>
          <w:color w:val="000000"/>
          <w:rtl w:val="1"/>
        </w:rPr>
        <w:t xml:space="preserve">أَتى ابنَ مسعودٍ رجلٌ فقال: إنِّي أَقرأُ المُفصَّل في ركعةٍ،  </w:t>
      </w:r>
      <w:r>
        <w:rPr>
          <w:color w:val="000000"/>
          <w:rtl w:val="1"/>
        </w:rPr>
        <w:t xml:space="preserve">فقال: أهَذًّا كَهَذِّ الشِّعرِ، ونَثرًا كنَثرِ الدَّقَلِ؟!  </w:t>
      </w:r>
      <w:r>
        <w:rPr>
          <w:color w:val="FF0000"/>
          <w:rtl w:val="1"/>
        </w:rPr>
        <w:t xml:space="preserve">لكنَّ النّبيَّ ﷺ كان يَقرأُ النَّظائرَ: السُّورتَينِ في ركعة،  </w:t>
      </w:r>
      <w:r>
        <w:rPr>
          <w:color w:val="FF0000"/>
          <w:rtl w:val="1"/>
        </w:rPr>
        <w:t xml:space="preserve">(الرَّحمن والنَّجم) في ركعة، و(اقتَرَبت والحاقَّة) في ركعةٍ، و(الطُّور والذَّاريات) في ركعةٍ، و(إذا وَقَعت ونُون) في ركعةٍ، و(سألَ سائِلٌ والنَّازعات) في ركعةٍ، و(ويلٌ للمُطفِّفِين وعَبَس) في ركعةٍ، و(المدَّثِّر والمزَّمِّل) في ركعةٍ، و(هل أَتى ولا أُقسِمُ بيومِ القِيامة) في ركعةٍ، و(عمَّ يَتَساءَلون والمُرسَلات) في ركعةٍ، و(الدُّخَان وإذا الشَّمسُ كُوِّرَت) في ركعة. </w:t>
      </w:r>
      <w:r>
        <w:rPr>
          <w:color w:val="000000"/>
          <w:rtl w:val="1"/>
        </w:rPr>
        <w:t xml:space="preserve">قال أبو داود: هذا تأليفُ ابن مسعود رحمه الله.  </w:t>
      </w:r>
    </w:p>
    <w:p>
      <w:pPr>
        <w:bidi w:val="1"/>
        <w:jc w:val="start"/>
      </w:pPr>
      <w:r>
        <w:rPr>
          <w:rtl w:val="1"/>
        </w:rPr>
        <w:t>درجة الحديث: صحيح / صحيح</w:t>
      </w:r>
    </w:p>
    <w:p>
      <w:pPr>
        <w:bidi w:val="1"/>
        <w:jc w:val="start"/>
      </w:pPr>
      <w:r>
        <w:rPr>
          <w:rtl w:val="1"/>
        </w:rPr>
        <w:t>الشرح: الدلالة: تسمية السور - ترتيب القرآن و رسمه</w:t>
      </w:r>
    </w:p>
    <w:p>
      <w:pPr>
        <w:bidi w:val="1"/>
        <w:jc w:val="start"/>
      </w:pPr>
      <w:r>
        <w:rPr>
          <w:rtl w:val="1"/>
        </w:rPr>
        <w:t xml:space="preserve">الشرح: الدلالة: النظائر من السور التي كان يقرأ بهن ﷺ - صلاة النبي ﷺ للفرائض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