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ذكر في قراءة سورتين في ركعة-أبواب الصلاة-سنن الترمذي — رقم الحديث: 602 — الرقم الفرعي: 99 — الرقم الأصلي: 602</w:t>
        <w:br/>
      </w:r>
      <w:r>
        <w:rPr>
          <w:rtl w:val="1"/>
        </w:rPr>
        <w:t xml:space="preserve"> حدثنا محمود بن غَيلان حدثنا أبو داود قال:أنبأنا شعبة عن الأعمش قال:سمعت أبا وائل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سألَ رجلٌ عبدَ الله عن هذا الحَرف: ﴿غَيْرِ آسِنٍ﴾ [محمد: 15] أو (ياسِنٍ)؟  </w:t>
      </w:r>
      <w:r>
        <w:rPr>
          <w:color w:val="000000"/>
          <w:rtl w:val="1"/>
        </w:rPr>
        <w:t xml:space="preserve">قال: كلَّ القُرآنِ قرأتَ غيرَ هذا؟ قال: نعم،  </w:t>
      </w:r>
      <w:r>
        <w:rPr>
          <w:color w:val="FF0000"/>
          <w:rtl w:val="1"/>
        </w:rPr>
        <w:t xml:space="preserve">قال: إنَّ قومًا يَقرَؤونَه يَنثُرونَه نَثْرَ الدَّقَل لا يُجاوِزُ تَراقِيَهم،  </w:t>
      </w:r>
      <w:r>
        <w:rPr>
          <w:color w:val="000000"/>
          <w:rtl w:val="1"/>
        </w:rPr>
        <w:t xml:space="preserve">إنِّي لأَعرِفُ السُّوَرَ النَّظائرَ التي كانَ رَسولُ الله ﷺ يَقرُنُ بينَهنَّ. </w:t>
      </w:r>
      <w:r>
        <w:rPr>
          <w:color w:val="000000"/>
          <w:rtl w:val="1"/>
        </w:rPr>
        <w:t xml:space="preserve">قال: فأَمَرْنا علقَمةَ، فسألَه، فقال: عِشرونَ سُورةً من المُفصَّل، كان النّبيُّ ﷺ يَقْرُنَ بينَ كلِّ سُورتَينِ في رَكعَة.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المبحث الخامس: الفتن المتعلقة بالعلماء والخطباء وقراء القرآن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