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الحجر الأسود-كتاب الحجّ-صحيح البخاري — رقم الحديث: 1597 — الرقم الفرعي: 99 — الرقم الأصلي: 1597</w:t>
        <w:br/>
      </w:r>
      <w:r>
        <w:rPr>
          <w:rtl w:val="1"/>
        </w:rPr>
        <w:t xml:space="preserve"> حدثنا محمد بن كثير أخبرنا سفيان عن الأعمش عن إبراهيم عن عابس بن ربيعة عن عمر رضي الله عنه</w:t>
        <w:br/>
      </w:r>
      <w:r>
        <w:rPr>
          <w:color w:val="FF0000"/>
          <w:rtl w:val="1"/>
        </w:rPr>
        <w:t xml:space="preserve">أنَّه جاءَ إلى الحَجَرِ الأسوَدِ، فقَبَّلَه،  </w:t>
      </w:r>
      <w:r>
        <w:rPr>
          <w:color w:val="FF0000"/>
          <w:rtl w:val="1"/>
        </w:rPr>
        <w:t xml:space="preserve">فقال: إنّي أعلمُ أنَّكَ حَجَرٌ لا تَضُرُّ ولا تَنفَعُ،  </w:t>
      </w:r>
      <w:r>
        <w:rPr>
          <w:color w:val="FF0000"/>
          <w:rtl w:val="1"/>
        </w:rPr>
        <w:t xml:space="preserve">ولولا أنِّي رأيتُ النبيَّ ﷺ يُقبِّلُكَ ما قَبَّلتُك.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البحث والتنقيب وإعمال العقل - قيم تقدير البحث، والنقد الموضوعي</w:t>
      </w:r>
    </w:p>
    <w:p>
      <w:pPr>
        <w:bidi w:val="1"/>
        <w:jc w:val="start"/>
      </w:pPr>
      <w:r>
        <w:rPr>
          <w:rtl w:val="1"/>
        </w:rPr>
        <w:t>الشرح: الدلالة: استقبال الحجر الأسود واستلامه وتقبيله - كيفية الطواف</w:t>
      </w:r>
    </w:p>
    <w:p>
      <w:pPr>
        <w:bidi w:val="1"/>
        <w:jc w:val="start"/>
      </w:pPr>
      <w:r>
        <w:rPr>
          <w:rtl w:val="1"/>
        </w:rPr>
        <w:t>الشرح: الدلالة: العقل - أبعاد الطبيعة الإنسانية للمتعلم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العقلية - الأهداف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العقل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استلامه ﷺ الحجر وتقبيله - حج النبي ﷺ وعمرته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