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التخلّي عند قضاء الحاجة .-كتاب الطهارة-سنن أبي داود — رقم الحديث: 1 — الرقم الفرعي: 99 — الرقم الأصلي: 1</w:t>
        <w:br/>
      </w:r>
      <w:r>
        <w:rPr>
          <w:rtl w:val="1"/>
        </w:rPr>
        <w:t xml:space="preserve"> حدثنا عبد الله بن مسلمة بن قعنب القعنبيّ ثنا عبد العزيز ملاحظة يعني ابن محمد عن محمد ملاحظة يعني ابن عمرو عن أبي سلمة عن المغيرة بن شعبة أنّ النبي صلى الله عليه وسلم</w:t>
        <w:br/>
      </w:r>
      <w:r>
        <w:rPr>
          <w:color w:val="FF0000"/>
          <w:rtl w:val="1"/>
        </w:rPr>
        <w:t xml:space="preserve">أنَّ النبيَّ ﷺ كانَ إذا ذهبَ المَذهَبَ أبعَدَ. </w:t>
      </w:r>
    </w:p>
    <w:p>
      <w:pPr>
        <w:bidi w:val="1"/>
        <w:jc w:val="start"/>
      </w:pPr>
      <w:r>
        <w:rPr>
          <w:rtl w:val="1"/>
        </w:rPr>
        <w:t>درجة الحديث: إسناده حسن / إسناده حسن</w:t>
      </w:r>
    </w:p>
    <w:p>
      <w:pPr>
        <w:bidi w:val="1"/>
        <w:jc w:val="start"/>
      </w:pPr>
      <w:r>
        <w:rPr>
          <w:rtl w:val="1"/>
        </w:rPr>
        <w:t>الشرح: الدلالة: قيمة وجوب ستر العورات - مظاهر قيمة ستر العورات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