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الظلال للمحرم-كتاب المناسك-سنن ابن ماجة — رقم الحديث: 2925 — الرقم الفرعي: 99 — الرقم الأصلي: 2925</w:t>
        <w:br/>
      </w:r>
      <w:r>
        <w:rPr>
          <w:rtl w:val="1"/>
        </w:rPr>
        <w:t xml:space="preserve"> حدثنا إبراهيم بن المنذر الحزاميّ ثنا عبد الله بن نافع و عبد الله بن وهب و محمد بن فُليح قالوا:ثنا عاصم بن عمر بن حفص عن عاصم بن عبيد الله عن عبد الله بن عامر بن ربيعة عن جابر بن عبد الله قال:قال رسول الله صلى الله عليه وسلم</w:t>
        <w:br/>
      </w:r>
      <w:r>
        <w:rPr>
          <w:color w:val="FF0000"/>
          <w:rtl w:val="1"/>
        </w:rPr>
        <w:t xml:space="preserve">«ما مِن مُحْرِمٍ يَضْحَى لِلَّهِ يَومَه،  </w:t>
      </w:r>
      <w:r>
        <w:rPr>
          <w:color w:val="FF0000"/>
          <w:rtl w:val="1"/>
        </w:rPr>
        <w:t xml:space="preserve">يُلَبِّي حَتَّى تَغِيبَ الشَّمسُ،  </w:t>
      </w:r>
      <w:r>
        <w:rPr>
          <w:color w:val="FF0000"/>
          <w:rtl w:val="1"/>
        </w:rPr>
        <w:t xml:space="preserve">إِلَّا غابَت بذُنُوبِهِ، فعادَ كما ولَدَته أُمُّه».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التلبية - أعمال العمرة</w:t>
      </w:r>
    </w:p>
    <w:p>
      <w:pPr>
        <w:bidi w:val="1"/>
        <w:jc w:val="start"/>
      </w:pPr>
      <w:r>
        <w:rPr>
          <w:rtl w:val="1"/>
        </w:rPr>
        <w:t>الشرح: الدلالة: فضل التلبية - التلبية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