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2916 — الرقم الفرعي: 1 — الرقم الأصلي: 2916</w:t>
        <w:br/>
      </w:r>
      <w:r>
        <w:rPr>
          <w:rtl w:val="1"/>
        </w:rPr>
        <w:t xml:space="preserve"> وحدثني محمد بن عمرو بن جَبَلة حدثنا محمد بن جعفر ح وحدثنا عقبة بن مُكْرَم العَمّيّ و أبو بكر بن نافع ملاحظة قال عقبة:حدثنا،وقال أبو بكر أخبرنا غُنْدَر حدثنا شعبة قال:سمعت خالداً يحدث عن سعيد بن أبي الحسن عن أمّه عن أمّ سلمة أنّ رسول الله صلى الله عليه وسلم</w:t>
        <w:br/>
      </w:r>
      <w:r>
        <w:rPr>
          <w:color w:val="FF0000"/>
          <w:rtl w:val="1"/>
        </w:rPr>
        <w:t xml:space="preserve">قال لِعمّار: «تَقتلُكَ الفِئةُ الباغِيَة». 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مناقب المهاجرين) - مناقب المهاجرين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