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نسخ متاع المتوفّى عنها، بما فرض لها من الميراث-تفريع أبواب الطلاق-سنن أبي داود — رقم الحديث: 2298 — الرقم الفرعي: 99 — الرقم الأصلي: 2298</w:t>
        <w:br/>
      </w:r>
      <w:r>
        <w:rPr>
          <w:rtl w:val="1"/>
        </w:rPr>
        <w:t xml:space="preserve"> حدثنا أحمد بن محمد المروزيّ حدثني عليّ بن الحسين بن واقد عن أبيه عن يزيد النحويّ عن عكرمة</w:t>
        <w:br/>
      </w:r>
      <w:r>
        <w:rPr>
          <w:color w:val="FF0000"/>
          <w:rtl w:val="1"/>
        </w:rPr>
        <w:t xml:space="preserve">عن ابن عباس: ﴿وَالَّذِينَ يُتَوَفَّوْنَ مِنْكُمْ وَيَذَرُونَ أَزْوَاجًا وَصِيَّةً لِأَزْوَاجِهِمْ مَتَاعًا إِلَى الْحَوْلِ غَيْرَ إِخْرَاجٍ﴾ [البقرة: 240]  </w:t>
      </w:r>
      <w:r>
        <w:rPr>
          <w:color w:val="FF0000"/>
          <w:rtl w:val="1"/>
        </w:rPr>
        <w:t xml:space="preserve">فَنُسِخَ ذلك بآيةِ الميراث، بما فُرِض لهنَّ من الرُّبُعِ والثُّمُنِ،  </w:t>
      </w:r>
      <w:r>
        <w:rPr>
          <w:color w:val="FF0000"/>
          <w:rtl w:val="1"/>
        </w:rPr>
        <w:t xml:space="preserve">ونُسِخ أَجَلُ الحَول بأنْ جُعِلَ أَجَلُها أَربعةَ أشهرٍ وعشْرًا.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أصحاب الثمن - أصحاب الفروض</w:t>
      </w:r>
    </w:p>
    <w:p>
      <w:pPr>
        <w:bidi w:val="1"/>
        <w:jc w:val="start"/>
      </w:pPr>
      <w:r>
        <w:rPr>
          <w:rtl w:val="1"/>
        </w:rPr>
        <w:t>الشرح: الدلالة: أصحاب الربع - أصحاب الفروض</w:t>
      </w:r>
    </w:p>
    <w:p>
      <w:pPr>
        <w:bidi w:val="1"/>
        <w:jc w:val="start"/>
      </w:pPr>
      <w:r>
        <w:rPr>
          <w:rtl w:val="1"/>
        </w:rPr>
        <w:t>الشرح: الدلالة: سكنى المعتدة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