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هبّت الريح-كتاب الصلاة-صحيح البخاري — رقم الحديث: 1034 — الرقم الفرعي: 99 — الرقم الأصلي: 1034</w:t>
        <w:br/>
      </w:r>
      <w:r>
        <w:rPr>
          <w:rtl w:val="1"/>
        </w:rPr>
        <w:t xml:space="preserve"> حدثنا سعيد بن أبي مريم قال: أخبرنا محمد بن جعفر قال:أخبرني حُمَيد أنه سمع أنساً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كانتِ الرِّيحُ الشَّديدةُ إذا هَبَّتْ عُرِفَ ذلكَ في وجهِ النبيِّ ﷺ. </w:t>
      </w:r>
    </w:p>
    <w:p>
      <w:pPr>
        <w:bidi w:val="1"/>
        <w:jc w:val="start"/>
      </w:pPr>
      <w:r>
        <w:rPr>
          <w:rtl w:val="1"/>
        </w:rPr>
        <w:t>الشرح: الدلالة: الأذكار والأدعية للريح والسحاب والمطر والرعد والبرق - الأذكار والأدعية للأحوال العارضة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خشيته ﷺ من نزول العذاب - تقوى النبي ﷺ وخوفه ربه ورجاؤه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