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1948 — الرقم الفرعي: 99 — الرقم الأصلي: 1339 — ج: 2 — ص: 196</w:t>
        <w:br/>
      </w:r>
      <w:r>
        <w:rPr>
          <w:rtl w:val="1"/>
        </w:rPr>
        <w:t xml:space="preserve"> حدثنا يحيى عن مالك عن محمد بن يحيى بن حبان وعن أبي الزناد عن الأعرج عن أبي هريرة أنّ رسول الله صلى الله عليه وسلم</w:t>
        <w:br/>
      </w:r>
      <w:r>
        <w:rPr>
          <w:color w:val="FF0000"/>
          <w:rtl w:val="1"/>
        </w:rPr>
        <w:t xml:space="preserve">نَهى عن المُلامَسَةِ والمُنابَذة. </w:t>
      </w:r>
      <w:r>
        <w:rPr>
          <w:color w:val="FF0000"/>
          <w:rtl w:val="1"/>
        </w:rPr>
        <w:t xml:space="preserve">قال مالك: والمُلامَسةُ: أن يَلمَسَ الرّجلُ الثَّوبَ، ولا يَنشُرَه، ولا يَتبيَّنَ ما فيه، أو يَبتاعَه لَيلًا ولا يَعلَمُ ما فيه.  </w:t>
      </w:r>
      <w:r>
        <w:rPr>
          <w:color w:val="FF0000"/>
          <w:rtl w:val="1"/>
        </w:rPr>
        <w:t xml:space="preserve">والمُنابَذة: أن يَنبِذَ الرجلُ إلى الرجلِ ثَوبَه، ويَنبِذَ الآخرُ إليه ثوبَه، على غير تأمُّلٍ منهما، ويقولُ كلُّ واحدٍ منهما: هذا بهذا. فهذا الذي نُهي عنه من المُلامَسة والمُنابَذة. </w:t>
      </w:r>
      <w:r>
        <w:rPr>
          <w:color w:val="000000"/>
          <w:rtl w:val="1"/>
        </w:rPr>
        <w:t xml:space="preserve">1949- قال مالكٌ في السَّاجِ المُدرَجِ في جِرابِه، أو الثَّوبِ القِبْطيِّ المُدرَجِ في طَيِّه: إنّه لا يجوزُ بَيعُهما حتى يُنشَرا ويُنظَرَ إلى ما في أَجوافِهما، وذلك أنَّ بَيعَهما من بيعِ الغَرَر، وهو مِن المُلامَسة. </w:t>
      </w:r>
      <w:r>
        <w:rPr>
          <w:color w:val="FF0000"/>
          <w:rtl w:val="1"/>
        </w:rPr>
        <w:t xml:space="preserve">1950- قال مالك: وبيعُ الأعدالِ على البَرنامِج، مخالفٌ لبيعِ السَّاجِ في جِرابِه، والثَّوبِ في طَيِّه، وما أَشبَه ذلك، فرَّقَ بين ذلك الأَمرُ المَعمولُ به، ومعرفةُ ذلك في صُدورِ الناس، وما مضَى من عمَلِ الماضِينَ فيه، وأنّه لم يَزَل مِن بُيوع النّاسِ الجائزةِ بينَهم، التي لا يَرَونَ بها بأسًا، لأنَّ بيعَ الأعدالِ على البَرنامِج على غير نشرٍ، لا يُرادُ به الغَرر، وليس يُشبِه المُلامَسَة. </w:t>
      </w:r>
    </w:p>
    <w:p>
      <w:pPr>
        <w:bidi w:val="1"/>
        <w:jc w:val="start"/>
      </w:pPr>
      <w:r>
        <w:rPr>
          <w:rtl w:val="1"/>
        </w:rPr>
        <w:t>درجة الحديث: صحيح</w:t>
      </w:r>
    </w:p>
    <w:p>
      <w:pPr>
        <w:bidi w:val="1"/>
        <w:jc w:val="start"/>
      </w:pPr>
      <w:r>
        <w:rPr>
          <w:rtl w:val="1"/>
        </w:rPr>
        <w:t>الشرح: الدلالة: البيع على البرنامج - أقسام أخرى للبيع</w:t>
      </w:r>
    </w:p>
    <w:p>
      <w:pPr>
        <w:bidi w:val="1"/>
        <w:jc w:val="start"/>
      </w:pPr>
      <w:r>
        <w:rPr>
          <w:rtl w:val="1"/>
        </w:rPr>
        <w:t>الشرح: الدلالة: بيع الملامسة - أسباب النهي المتعلقة بالغرر</w:t>
      </w:r>
    </w:p>
    <w:p>
      <w:pPr>
        <w:bidi w:val="1"/>
        <w:jc w:val="start"/>
      </w:pPr>
      <w:r>
        <w:rPr>
          <w:rtl w:val="1"/>
        </w:rPr>
        <w:t>الشرح: الدلالة: بيع المنابذة - أسباب النهي المتعلقة بالغرر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