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من يُستعمل عل الحرب-كتاب الجهاد-سنن الترمذي — رقم الحديث: 1704 — الرقم الفرعي: 99 — الرقم الأصلي: 1704</w:t>
        <w:br/>
      </w:r>
      <w:r>
        <w:rPr>
          <w:rtl w:val="1"/>
        </w:rPr>
        <w:t xml:space="preserve"> حدثنا عبد الله بن أبي زياد حدثنا الأحوص بن الجوّاب،أبو الجوّاب عن يونس بن أبي إسحاق عن أبي إسحاق عن البراء</w:t>
        <w:br/>
      </w:r>
      <w:r>
        <w:rPr>
          <w:color w:val="FF0000"/>
          <w:rtl w:val="1"/>
        </w:rPr>
        <w:t xml:space="preserve">أنَّ النّبيَّ ﷺ بعثَ جَيشَين، وأَمَّرَ على أَحَدِهما عليَّ بنَ أبي طالب، وعلى الآخرِ خالدَ بنَ الوَليد، وقال: «إذا كان القِتالُ فعَلِيٌّ»،  </w:t>
      </w:r>
      <w:r>
        <w:rPr>
          <w:color w:val="FF0000"/>
          <w:rtl w:val="1"/>
        </w:rPr>
        <w:t xml:space="preserve">قال: فافتتَحَ عليٌّ حِصنًا فأخذَ منه جاريةً،  </w:t>
      </w:r>
      <w:r>
        <w:rPr>
          <w:color w:val="FF0000"/>
          <w:rtl w:val="1"/>
        </w:rPr>
        <w:t xml:space="preserve">فكتَبَ معي خالدٌ إلى النّبيِّ ﷺ يَشِي به،  </w:t>
      </w:r>
      <w:r>
        <w:rPr>
          <w:color w:val="FF0000"/>
          <w:rtl w:val="1"/>
        </w:rPr>
        <w:t xml:space="preserve">فقدِمتُ على النّبيِّ ﷺ، فقرأَ الكتابَ، فتغيَّرَ لونُه،  </w:t>
      </w:r>
      <w:r>
        <w:rPr>
          <w:color w:val="FF0000"/>
          <w:rtl w:val="1"/>
        </w:rPr>
        <w:t xml:space="preserve">ثم قال: «ما تَرَى في رجلٍ يُحبُّ الله ورسولَه، ويُحبُّه اللهُ ورسولُه؟»  </w:t>
      </w:r>
      <w:r>
        <w:rPr>
          <w:color w:val="FF0000"/>
          <w:rtl w:val="1"/>
        </w:rPr>
        <w:t xml:space="preserve">قلتُ: أَعوذُ بالله مِن غَضَبِ الله وغَضَبِ رسولِه، وإنَّما أَنا رسولٌ، فسَكَتَ.  </w:t>
      </w:r>
      <w:r>
        <w:rPr>
          <w:color w:val="000000"/>
          <w:rtl w:val="1"/>
        </w:rPr>
        <w:t xml:space="preserve">وفي الباب عن ابنِ عمر.  </w:t>
      </w:r>
      <w:r>
        <w:rPr>
          <w:color w:val="000000"/>
          <w:rtl w:val="1"/>
        </w:rPr>
        <w:t xml:space="preserve">وهذا حديثٌ حسنٌ غريب، لا نعرفُه إلَّا من حديثِ الأحوَص بن جَوّاب.  </w:t>
      </w:r>
      <w:r>
        <w:rPr>
          <w:color w:val="000000"/>
          <w:rtl w:val="1"/>
        </w:rPr>
        <w:t xml:space="preserve">ومعنى قوله: «يَشِي به» يعني: النَّمِيمة.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أجل علي بن أبي طالب - غضب النبي ﷺ </w:t>
      </w:r>
    </w:p>
    <w:p>
      <w:pPr>
        <w:bidi w:val="1"/>
        <w:jc w:val="start"/>
      </w:pPr>
      <w:r>
        <w:rPr>
          <w:rtl w:val="1"/>
        </w:rPr>
        <w:t>الشرح: الدلالة: سريتا خالد بن الوليد وعلي بن أبي طالب إلى نجران - أحداث السنة العاشرة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