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لعن الدواب وغيرها-كتاب البرّ والصلة والآداب-صحيح مسلم — رقم الحديث: 2598 — الرقم الفرعي: 1 — الرقم الأصلي: 2598</w:t>
        <w:br/>
      </w:r>
      <w:r>
        <w:rPr>
          <w:rtl w:val="1"/>
        </w:rPr>
        <w:t xml:space="preserve"> حدثني سُوَيْد بن سعيد حدثني حفص بن مَيْسَرة عن زيد بن أسلم</w:t>
        <w:br/>
      </w:r>
      <w:r>
        <w:rPr>
          <w:color w:val="000000"/>
          <w:rtl w:val="1"/>
        </w:rPr>
        <w:t xml:space="preserve">أنَّ عبدَ المَلِكِ بنِ مَروانَ بَعَثَ إلى أُمِّ الدَّرداءِ بأَنجادٍ من عندِه،  </w:t>
      </w:r>
      <w:r>
        <w:rPr>
          <w:color w:val="000000"/>
          <w:rtl w:val="1"/>
        </w:rPr>
        <w:t xml:space="preserve">فلمَّا أن كانَ ذاتَ لَيلةٍ قامَ عبدُ المَلِكِ مِن اللَّيل، فدعا خادِمَه، فكأنَّه أبطأَ عليه، فلَعَنَه،  </w:t>
      </w:r>
      <w:r>
        <w:rPr>
          <w:color w:val="FF0000"/>
          <w:rtl w:val="1"/>
        </w:rPr>
        <w:t xml:space="preserve">فلمَّا أصبَحَ قالت لهُ أمُّ الدَّرداء: سَمِعتُكَ اللَّيلةَ لَعَنتَ خادِمَكَ حينَ دَعَوتَه،  </w:t>
      </w:r>
      <w:r>
        <w:rPr>
          <w:color w:val="FF0000"/>
          <w:rtl w:val="1"/>
        </w:rPr>
        <w:t xml:space="preserve">فقالت: سَمعتُ أبا الدَّرداءِ يقول: قالَ رسولُ الله ﷺ:  </w:t>
      </w:r>
      <w:r>
        <w:rPr>
          <w:color w:val="FF0000"/>
          <w:rtl w:val="1"/>
        </w:rPr>
        <w:t xml:space="preserve">«لا يَكونُ اللَّعّانونَ شُفعاءَ ولا شُهداءَ، يومَ القِيامة».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قيمة ضبط العواطف - قيم ضبط الانفعالات والعواطف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