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الأمر بالمعروف والنهي عن المنكر-كتاب الفتن-سنن الترمذي — رقم الحديث: 2169 — الرقم الفرعي: 99 — الرقم الأصلي: 2170</w:t>
        <w:br/>
      </w:r>
      <w:r>
        <w:rPr>
          <w:rtl w:val="1"/>
        </w:rPr>
        <w:t xml:space="preserve"> حدثنا قتيبة حدثنا عبد العزيز بن محمد عن عمرو بن أبي عمرو عن عبد الله الأنصاريّ عن حذيفة بن اليمان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«والذي نَفْسي بيدِه لتَأمُرُنَّ بالمَعروفِ ولتَنهَوُنَّ عن المُنكَر أو لَيُوشِكّنَّ اللهُ أن يَبعَثَ عليكم عِقابًا منه، ثم تَدْعونَه فلا يُستجابُ لكُم». </w:t>
      </w:r>
      <w:r>
        <w:rPr>
          <w:color w:val="000000"/>
          <w:rtl w:val="1"/>
        </w:rPr>
        <w:t xml:space="preserve">حدَّثنا عليُّ بنُ حُجْر، أَخبرنا إسماعيلُ بنُ جعفَر، عن عَمرِو بن أَبي عَمرو، بهذا الإسنادِ نَحوَه. </w:t>
      </w:r>
      <w:r>
        <w:rPr>
          <w:color w:val="000000"/>
          <w:rtl w:val="1"/>
        </w:rPr>
        <w:t xml:space="preserve">هذا حديثٌ حسن.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السنن الالهية في المجتمعات - المجتمع</w:t>
      </w:r>
    </w:p>
    <w:p>
      <w:pPr>
        <w:bidi w:val="1"/>
        <w:jc w:val="start"/>
      </w:pPr>
      <w:r>
        <w:rPr>
          <w:rtl w:val="1"/>
        </w:rPr>
        <w:t>الشرح: الدلالة: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العوائق المادية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الدعوة والأمر بالمعروف والنهي عن المنكر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الامر بالمعروف والنهي عن المنكر (يحال إلى الدعوة والإعلام والاتصال) -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تعطيل الأمر بالمعروف والنهي عن المنكر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(يحال إلى الدعوة والاتصال والإعلام )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تقديم الخدمات العامة</w:t>
      </w:r>
    </w:p>
    <w:p>
      <w:pPr>
        <w:bidi w:val="1"/>
        <w:jc w:val="start"/>
      </w:pPr>
      <w:r>
        <w:rPr>
          <w:rtl w:val="1"/>
        </w:rPr>
        <w:t>الشرح: الدلالة: قيمة الأمر بالمعروف والنهي عن المنكر - القيم السياسية والإدارية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وجوب الأمر بالمعروف والنهي عن المنكر</w:t>
      </w:r>
    </w:p>
    <w:p>
      <w:pPr>
        <w:bidi w:val="1"/>
        <w:jc w:val="start"/>
      </w:pPr>
      <w:r>
        <w:rPr>
          <w:rtl w:val="1"/>
        </w:rPr>
        <w:t>الشرح: الدلالة: حكم تعطيل الأمر بالمعروف والنهي عن المنكر والآثار المترتبة على ذلك.</w:t>
      </w:r>
    </w:p>
    <w:p>
      <w:pPr>
        <w:bidi w:val="1"/>
        <w:jc w:val="start"/>
      </w:pPr>
      <w:r>
        <w:rPr>
          <w:rtl w:val="1"/>
        </w:rPr>
        <w:t>الشرح: الدلالة: تغيير المنكر باليد</w:t>
      </w:r>
    </w:p>
    <w:p>
      <w:pPr>
        <w:bidi w:val="1"/>
        <w:jc w:val="start"/>
      </w:pPr>
      <w:r>
        <w:rPr>
          <w:rtl w:val="1"/>
        </w:rPr>
        <w:t>الشرح: الدلالة: تغيير المنكر باللسان</w:t>
      </w:r>
    </w:p>
    <w:p>
      <w:pPr>
        <w:bidi w:val="1"/>
        <w:jc w:val="start"/>
      </w:pPr>
      <w:r>
        <w:rPr>
          <w:rtl w:val="1"/>
        </w:rPr>
        <w:t>الشرح: الدلالة: تغيير المنكر بالقلب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