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5899 — الرقم الفرعي: 99 — الرقم الأصلي: 5899 — ج: 6 — ص: 172</w:t>
        <w:br/>
      </w:r>
      <w:r>
        <w:rPr>
          <w:rtl w:val="1"/>
        </w:rPr>
        <w:t xml:space="preserve"> حدثنا محمد بن عثمان بن أبي شيبة، حدثنا إسماعيل بن الحكم الثقفيّ، حدثنا عبد العزيز بن أبي حازم، عن أبيه، عن سهل بن سعد، رضي الله عنه: حدثنا محمد بن عثمان بن أبي شيبة، حدثنا إسماعيل بن الحكم الثقفيّ، حدثنا عبد العزيز بن أبي حازم، عن أبيه، عن سهل بن سعد، رضي الله عنه:</w:t>
        <w:br/>
      </w:r>
      <w:r>
        <w:rPr>
          <w:color w:val="FF0000"/>
          <w:rtl w:val="1"/>
        </w:rPr>
        <w:t xml:space="preserve">أنَّ النّبيَّ ﷺ نَهى عن بَيعِ الغَرَر.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أسباب النهي المتعلقة بالغرر - الأسباب التي تتعلق بلازم العقد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