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المعجم الكبير — رقم الحديث: 10234 — الرقم الفرعي: 99 — الرقم الأصلي: 10234 — ج: 10 — ص: 138</w:t>
        <w:br/>
      </w:r>
      <w:r>
        <w:rPr>
          <w:rtl w:val="1"/>
        </w:rPr>
        <w:t xml:space="preserve"> حدثنا أبو خليفة الفضل بن الحباب، حدثنا عثمان بن الهيثم المؤذن، حدثنا أبي، عن عاصم، عن زِرّ، عن عبد الله قال: قال رسول الله ﷺ:</w:t>
        <w:br/>
      </w:r>
      <w:r>
        <w:rPr>
          <w:color w:val="FF0000"/>
          <w:rtl w:val="1"/>
        </w:rPr>
        <w:t xml:space="preserve">«مَن غشَّنا فليسَ مِنّا،  </w:t>
      </w:r>
      <w:r>
        <w:rPr>
          <w:color w:val="FF0000"/>
          <w:rtl w:val="1"/>
        </w:rPr>
        <w:t xml:space="preserve">والمَكرُ والخِداعُ في النّار». 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الأمانة والصدق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عدم الغش والتغرير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الغبن - ما يؤدي إلى تضييق أو إيذاء أو ضرر مادي أو معنوي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