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البخاري — باب قول النبيّ صلى الله عليه وسلم،للحسن بن عليّ:إنّ ابني هذا لسيّد-كتاب الفتن-صحيح البخاري — رقم الحديث: 7110 — الرقم الفرعي: 99 — الرقم الأصلي: 7110</w:t>
        <w:br/>
      </w:r>
      <w:r>
        <w:rPr>
          <w:rtl w:val="1"/>
        </w:rPr>
        <w:t xml:space="preserve"> حدثنا عليّ بن عبد الله حدثنا سفيان قال:قال عمرو أخبرني محمد بن عليّ أنّ حرملة مولى أسامة أخبره قال عمرو قد رأيت حرملة</w:t>
        <w:br/>
      </w:r>
      <w:r>
        <w:rPr>
          <w:color w:val="FF0000"/>
          <w:rtl w:val="1"/>
        </w:rPr>
        <w:t xml:space="preserve">قال: أرسَلَني أُسامةُ إلى عليٍّ، وقال: إنَّه سَيَسْألُكَ الآنَ فيقولُ: ما خَلَّفَ صاحبَكَ؟ فقُلْ له: يقولُ لَكَ: لو كنتَ في شِدْقِ الأسَدِ لأحبَبْتُ أنْ أكونَ مَعَكَ فيه، ولكنَّ هذا أمرٌ لم أرَه،  </w:t>
      </w:r>
      <w:r>
        <w:rPr>
          <w:color w:val="000000"/>
          <w:rtl w:val="1"/>
        </w:rPr>
        <w:t xml:space="preserve">فلم يُعْطِني شيئًا،  </w:t>
      </w:r>
      <w:r>
        <w:rPr>
          <w:color w:val="000000"/>
          <w:rtl w:val="1"/>
        </w:rPr>
        <w:t xml:space="preserve">فذهبْتُ إلى حَسَنٍ وحسينٍ وابنِ جعفرٍ، فأَوقَرُوا لي راحِلتِي. </w:t>
      </w:r>
    </w:p>
    <w:p>
      <w:pPr>
        <w:bidi w:val="1"/>
        <w:jc w:val="start"/>
      </w:pPr>
      <w:r>
        <w:rPr>
          <w:rtl w:val="1"/>
        </w:rPr>
        <w:t>الشرح: الدلالة: مناقب آل البيت</w:t>
      </w:r>
    </w:p>
    <w:p>
      <w:pPr>
        <w:bidi w:val="1"/>
        <w:jc w:val="start"/>
      </w:pPr>
      <w:r>
        <w:rPr>
          <w:rtl w:val="1"/>
        </w:rPr>
        <w:t>الشرح: الدلالة: الكرم والجود والسخاء - القيم والأخلاق المحمودة</w:t>
      </w:r>
    </w:p>
    <w:p>
      <w:pPr>
        <w:bidi w:val="1"/>
        <w:jc w:val="start"/>
      </w:pPr>
      <w:r>
        <w:rPr>
          <w:rtl w:val="1"/>
        </w:rPr>
        <w:t>الشرح: الدلالة: مناقب ذرية علي كرم الله وجهه - مناقب آل البيت</w:t>
      </w:r>
    </w:p>
    <w:p>
      <w:pPr>
        <w:bidi w:val="1"/>
        <w:jc w:val="start"/>
      </w:pPr>
      <w:r>
        <w:rPr>
          <w:rtl w:val="1"/>
        </w:rPr>
        <w:t>الشرح: الدلالة: الحوار والمناظرة والسؤال - الأساليب التعليمية</w:t>
      </w:r>
    </w:p>
    <w:p>
      <w:pPr>
        <w:bidi w:val="1"/>
        <w:jc w:val="start"/>
      </w:pPr>
      <w:r>
        <w:rPr>
          <w:rtl w:val="1"/>
        </w:rPr>
        <w:t>الشرح: الدلالة: التعليم بالقصة والمثل - الأساليب التعليمية</w:t>
      </w:r>
    </w:p>
    <w:p>
      <w:pPr>
        <w:bidi w:val="1"/>
        <w:jc w:val="start"/>
      </w:pPr>
      <w:r>
        <w:rPr>
          <w:rtl w:val="1"/>
        </w:rPr>
        <w:t>الشرح: الدلالة: المطلب الأول: الفتنة في عهد الخلفاء عثمان وعلي وتنازل الحسن عن الخلافة - فتن الحكم في أواخر عهد الخلافة الراشدة وما بعده</w:t>
      </w:r>
    </w:p>
    <w:p>
      <w:pPr>
        <w:bidi w:val="1"/>
        <w:jc w:val="start"/>
      </w:pPr>
      <w:r>
        <w:rPr>
          <w:rtl w:val="1"/>
        </w:rPr>
        <w:t>الشرح: الدلالة: الفصل السابع: ترك السلاح والعزلة في الفتن ومقاطعة أهلها - كيفية التصرف عند وقوع الفتن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