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حنين الجذع له صلى الله عليه وسلم-كتاب المناقب-سنن الترمذي — رقم الحديث: 3627 — الرقم الفرعي: 99 — الرقم الأصلي: 3632</w:t>
        <w:br/>
      </w:r>
      <w:r>
        <w:rPr>
          <w:rtl w:val="1"/>
        </w:rPr>
        <w:t xml:space="preserve"> حدثنا محمود بن غَيلان حدثنا عمر بن يونس عن عكرمة بن عمّار عن إسحاق بن عبد الله بن أبي طلحة عن أنس بن مالك</w:t>
        <w:br/>
      </w:r>
      <w:r>
        <w:rPr>
          <w:color w:val="000000"/>
          <w:rtl w:val="1"/>
        </w:rPr>
        <w:t xml:space="preserve">أنّ رَسولَ الله ﷺ خَطَبَ إلى لِزْقِ جِذعٍ،  </w:t>
      </w:r>
      <w:r>
        <w:rPr>
          <w:color w:val="FF0000"/>
          <w:rtl w:val="1"/>
        </w:rPr>
        <w:t xml:space="preserve">واتَّخَذوا له مِنبَرًا، فخَطَبَ عليه،  </w:t>
      </w:r>
      <w:r>
        <w:rPr>
          <w:color w:val="FF0000"/>
          <w:rtl w:val="1"/>
        </w:rPr>
        <w:t xml:space="preserve">فحَنَّ الجِذعُ حَنينَ النّاقة، فنَزلَ النّبيُّ ﷺ، فمَسَّهُ، فسَكَت. </w:t>
      </w:r>
      <w:r>
        <w:rPr>
          <w:color w:val="000000"/>
          <w:rtl w:val="1"/>
        </w:rPr>
        <w:t xml:space="preserve">وفي الباب عن أُبيٍّ، وجابرٍ، وابنِ عُمرَ، وسَهلِ بن سَعدٍ، وابنِ عبّاسٍ، وأُمِّ سَلَمة. </w:t>
      </w:r>
      <w:r>
        <w:rPr>
          <w:color w:val="000000"/>
          <w:rtl w:val="1"/>
        </w:rPr>
        <w:t xml:space="preserve">حديثُ أَنسٍ حديثٌ حسنٌ صحيحٌ غريبٌ مِن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حنين الجذع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