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الغدر-كتاب الجهاد والسّيَر-صحيح مسلم — رقم الحديث: 1738 — الرقم الفرعي: 1 — الرقم الأصلي: 1738</w:t>
        <w:br/>
      </w:r>
      <w:r>
        <w:rPr>
          <w:rtl w:val="1"/>
        </w:rPr>
        <w:t xml:space="preserve"> حدثنا محمد بن المثنى و عبيدالله بن سعيد قالا:حدثنا عبد الرحمن حدثنا شعبة عن خُلَيد عن أبي نَضْرَة عن أبي سعيد عن النبيّ صلى الله عليه وسلم</w:t>
        <w:br/>
      </w:r>
      <w:r>
        <w:rPr>
          <w:color w:val="FF0000"/>
          <w:rtl w:val="1"/>
        </w:rPr>
        <w:t xml:space="preserve">«لِكُلِّ غادرٍ لِواءٌ عندَ اسْتِهِ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حال الغادرين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