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كم أقام النبيّ صلى الله عليه وسلم،في حجّته-كتاب الصلاة-صحيح البخاري — رقم الحديث: 1085 — الرقم الفرعي: 99 — الرقم الأصلي: 1085</w:t>
        <w:br/>
      </w:r>
      <w:r>
        <w:rPr>
          <w:rtl w:val="1"/>
        </w:rPr>
        <w:t xml:space="preserve"> حدثنا موسى بن إسماعيل قال:حدثنا وهيب قال:حدثنا أيوب عن أبي العالية،البرّاء عن ابن عباس رضي الله عنهما</w:t>
        <w:br/>
      </w:r>
      <w:r>
        <w:rPr>
          <w:color w:val="FF0000"/>
          <w:rtl w:val="1"/>
        </w:rPr>
        <w:t xml:space="preserve">قال: قَدِمَ النبيُّ ﷺ وأصحابُه لِصُبْحِ رابعةٍ يُلَبُّونَ بالحجِّ،  </w:t>
      </w:r>
      <w:r>
        <w:rPr>
          <w:color w:val="FF0000"/>
          <w:rtl w:val="1"/>
        </w:rPr>
        <w:t xml:space="preserve">فأمَرَهُم أنْ يَجعَلُوها عُمْرةً إلّا مَن معه الهَدْيُ. </w:t>
      </w:r>
      <w:r>
        <w:rPr>
          <w:color w:val="000000"/>
          <w:rtl w:val="1"/>
        </w:rPr>
        <w:t xml:space="preserve">تابَعَه عطاءٌ عن جابرٍ.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الأمور بمقاصدها - القواعد الفقهية</w:t>
      </w:r>
    </w:p>
    <w:p>
      <w:pPr>
        <w:bidi w:val="1"/>
        <w:jc w:val="start"/>
      </w:pPr>
      <w:r>
        <w:rPr>
          <w:rtl w:val="1"/>
        </w:rPr>
        <w:t>الشرح: الدلالة: مشروعية الحج وفضله</w:t>
      </w:r>
    </w:p>
    <w:p>
      <w:pPr>
        <w:bidi w:val="1"/>
        <w:jc w:val="start"/>
      </w:pPr>
      <w:r>
        <w:rPr>
          <w:rtl w:val="1"/>
        </w:rPr>
        <w:t xml:space="preserve">الشرح: الدلالة: تلبية النبي صلى الله عليه وسلم - حجة الوداع وما تلاها من أحداث 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حج الفريضة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المظهر الديني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الهدي - توزيع الغذاء</w:t>
      </w:r>
    </w:p>
    <w:p>
      <w:pPr>
        <w:bidi w:val="1"/>
        <w:jc w:val="start"/>
      </w:pPr>
      <w:r>
        <w:rPr>
          <w:rtl w:val="1"/>
        </w:rPr>
        <w:t>الشرح: الدلالة: العوامل الفكرية</w:t>
      </w:r>
    </w:p>
    <w:p>
      <w:pPr>
        <w:bidi w:val="1"/>
        <w:jc w:val="start"/>
      </w:pPr>
      <w:r>
        <w:rPr>
          <w:rtl w:val="1"/>
        </w:rPr>
        <w:t>الشرح: الدلالة: وحدة الأوامر (وحدة القيادة) - مبادئ الإدارة</w:t>
      </w:r>
    </w:p>
    <w:p>
      <w:pPr>
        <w:bidi w:val="1"/>
        <w:jc w:val="start"/>
      </w:pPr>
      <w:r>
        <w:rPr>
          <w:rtl w:val="1"/>
        </w:rPr>
        <w:t>الشرح: الدلالة: العمرة في أشهر الحج - وقت العمرة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الجاهلية(تاريخ)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الكتاب والسنة</w:t>
      </w:r>
    </w:p>
    <w:p>
      <w:pPr>
        <w:bidi w:val="1"/>
        <w:jc w:val="start"/>
      </w:pPr>
      <w:r>
        <w:rPr>
          <w:rtl w:val="1"/>
        </w:rPr>
        <w:t>الشرح: الدلالة: أسباب ورود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سوق الهدي وتقليده وإشعاره واستخدامه - الهدي</w:t>
      </w:r>
    </w:p>
    <w:p>
      <w:pPr>
        <w:bidi w:val="1"/>
        <w:jc w:val="start"/>
      </w:pPr>
      <w:r>
        <w:rPr>
          <w:rtl w:val="1"/>
        </w:rPr>
        <w:t>الشرح: الدلالة: أسباب الهدي - الهدي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صفات القائد ومؤهلاته</w:t>
      </w:r>
    </w:p>
    <w:p>
      <w:pPr>
        <w:bidi w:val="1"/>
        <w:jc w:val="start"/>
      </w:pPr>
      <w:r>
        <w:rPr>
          <w:rtl w:val="1"/>
        </w:rPr>
        <w:t>الشرح: الدلالة: مخالفة المشركين. - تميز الأمة وشخصيتها</w:t>
      </w:r>
    </w:p>
    <w:p>
      <w:pPr>
        <w:bidi w:val="1"/>
        <w:jc w:val="start"/>
      </w:pPr>
      <w:r>
        <w:rPr>
          <w:rtl w:val="1"/>
        </w:rPr>
        <w:t>الشرح: الدلالة: الوصول إلى البيت الحرام والطواف والسعي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