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الحيف والرشوة-كتاب الأحكام-سنن ابن ماجة — رقم الحديث: 2311 — الرقم الفرعي: 99 — الرقم الأصلي: 2311</w:t>
        <w:br/>
      </w:r>
      <w:r>
        <w:rPr>
          <w:rtl w:val="1"/>
        </w:rPr>
        <w:t xml:space="preserve"> حدثنا أبو بكر بن خلاّد الباهليّ ثنا يحيى بن سعيد القطّان ثنا مُجالد عن عامر عن مسروق عن عبد الله قال:قال رسول الله صلى الله عليه وسلم</w:t>
        <w:br/>
      </w:r>
      <w:r>
        <w:rPr>
          <w:color w:val="FF0000"/>
          <w:rtl w:val="1"/>
        </w:rPr>
        <w:t xml:space="preserve">«ما مِن حاكِمٍ يَحكُمُ بينَ النّاس، إلّا جاءَ يومَ القِيامةِ وملَكٌ آخِذٌ بقَفاهُ، ثم يَرفعُ رأسَه إلى السَّماء، فإن قال: ألْقِهِ، أَلقاهُ في مَهْواةٍ أَربعينَ خَريفًا».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حال الظالمين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