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النهي عن صيام الدهر،وذكر الاختلاف على مطرف بن عبدالله في الخبر فيه-كتاب الصيام-سنن النسائي — رقم الحديث: 2380 — الرقم الفرعي: 99 — الرقم الأصلي: 2380</w:t>
        <w:br/>
      </w:r>
      <w:r>
        <w:rPr>
          <w:rtl w:val="1"/>
        </w:rPr>
        <w:t xml:space="preserve"> أخبرني عمرو بن هشام قال:حدثنا مَخلد عن الأوزاعيّ عن قتادة عن مُطرّف بن عبد الله بن الشّخّير أخبرني أبي</w:t>
        <w:br/>
      </w:r>
      <w:r>
        <w:rPr>
          <w:color w:val="FF0000"/>
          <w:rtl w:val="1"/>
        </w:rPr>
        <w:t xml:space="preserve">أَنَّه سَمِعَ رَسولَ اللَّهِ ﷺ وذُكِرَ عِندَه رَجلٌ يَصُومُ الدَّهرَ، قال: «لا صَامَ ولا أَفطَرَ».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صيام الدهر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