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3477 — الرقم الفرعي: 99 — الرقم الأصلي: 3477</w:t>
        <w:br/>
      </w:r>
      <w:r>
        <w:rPr>
          <w:rtl w:val="1"/>
        </w:rPr>
        <w:t xml:space="preserve"> حدثنا عمر بن حفص حدثنا أبي حدثنا الأعمش قال:حدثني شَقيق قال عبد الله</w:t>
        <w:br/>
      </w:r>
      <w:r>
        <w:rPr>
          <w:color w:val="FF0000"/>
          <w:rtl w:val="1"/>
        </w:rPr>
        <w:t xml:space="preserve">كأنّي أنظُرُ إلى النّبيِّ ﷺ يَحْكي نبيًّا منَ الأنبياءِ  </w:t>
      </w:r>
      <w:r>
        <w:rPr>
          <w:color w:val="FF0000"/>
          <w:rtl w:val="1"/>
        </w:rPr>
        <w:t xml:space="preserve">ضَرَبَه قومُه فأَدمَوْه، وهو يَمسَحُ الدَّمَ عن وجهِه ويقولُ: «اللّهمَّ اغفِرْ لقَومي، فإنَّهم لا يَعلَمون». 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كافر بالدعوة - أصناف المدعوين من حيث مواقفهم من الدعوة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