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الرجُل يكون له ممرّ أو شربٌ في حائط-كتاب الشرب-صحيح البخاري — رقم الحديث: 2379 — الرقم الفرعي: 99 — الرقم الأصلي: 2379</w:t>
        <w:br/>
      </w:r>
      <w:r>
        <w:rPr>
          <w:rtl w:val="1"/>
        </w:rPr>
        <w:t xml:space="preserve"> أخبرنا عبد الله بن يوسف حدثنا الليث حدثني ابن شهاب عن سالم بن عبد الله عن أبيه رضي الله عنه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«مَنِ ابتاعَ نَخْلًا بعدَ أنْ تُؤَبَّرَ، فثَمَرَتُها للبائعِ، إلَّا أنْ يَشْتَرِطَ المُبْتاعُ،  </w:t>
      </w:r>
      <w:r>
        <w:rPr>
          <w:color w:val="FF0000"/>
          <w:rtl w:val="1"/>
        </w:rPr>
        <w:t xml:space="preserve">ومَنِ ابتاعَ عَبْدًا ولَه مالٌ فمالُه لِلَّذي باعَه، إلَّا أنْ يَشْتَرِطَ المُبْتاعُ» </w:t>
      </w:r>
      <w:r>
        <w:rPr>
          <w:color w:val="000000"/>
          <w:rtl w:val="1"/>
        </w:rPr>
        <w:t xml:space="preserve">وعن مالكٍ، عن نافعٍ، عن ابنِ عمرَ، عن عمرَ في العبدِ. </w:t>
      </w:r>
    </w:p>
    <w:p>
      <w:pPr>
        <w:bidi w:val="1"/>
        <w:jc w:val="start"/>
      </w:pPr>
      <w:r>
        <w:rPr>
          <w:rtl w:val="1"/>
        </w:rPr>
        <w:t>الشرح: الدلالة: حكم توابع المبيع - المعقود عليه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