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باع نخلاً قد أُبّرتْ-كتاب البيوع-صحيح البخاري — رقم الحديث: 2203 — الرقم الفرعي: 99 — الرقم الأصلي: 2203</w:t>
        <w:br/>
      </w:r>
      <w:r>
        <w:rPr>
          <w:rtl w:val="1"/>
        </w:rPr>
        <w:t xml:space="preserve"> قال أبو عبد الله وقال لي : إبراهيم أخبرنا هشام أخبرنا ابن جريج قال:سمعت ابن أبي مليكة يخبر عن نافع ملاحظة مولى ابن عمر</w:t>
        <w:br/>
      </w:r>
      <w:r>
        <w:rPr>
          <w:color w:val="FF0000"/>
          <w:rtl w:val="1"/>
        </w:rPr>
        <w:t xml:space="preserve">أيُّما نَخْلٍ بِيعَتْ قد أُبِّرَتْ لم يُذكَرِ الثَّمَرُ، فالثَّمَرُ لِلَّذي أبَّرَها، وكذلكَ العبدُ والحَرْثُ.  </w:t>
      </w:r>
      <w:r>
        <w:rPr>
          <w:color w:val="000000"/>
          <w:rtl w:val="1"/>
        </w:rPr>
        <w:t xml:space="preserve">سَمَّى له نافعٌ هؤُلاءِ الثَّلاثَ. </w:t>
      </w:r>
    </w:p>
    <w:p>
      <w:pPr>
        <w:bidi w:val="1"/>
        <w:jc w:val="start"/>
      </w:pPr>
      <w:r>
        <w:rPr>
          <w:rtl w:val="1"/>
        </w:rPr>
        <w:t>الشرح: الدلالة: النخيل ومنتجاته (البلح والتمر والرطب والجمّار) - الفواكه</w:t>
      </w:r>
    </w:p>
    <w:p>
      <w:pPr>
        <w:bidi w:val="1"/>
        <w:jc w:val="start"/>
      </w:pPr>
      <w:r>
        <w:rPr>
          <w:rtl w:val="1"/>
        </w:rPr>
        <w:t>الشرح: الدلالة: حكم توابع المبيع - المعقود عليه</w:t>
      </w:r>
    </w:p>
    <w:p>
      <w:pPr>
        <w:bidi w:val="1"/>
        <w:jc w:val="start"/>
      </w:pPr>
      <w:r>
        <w:rPr>
          <w:rtl w:val="1"/>
        </w:rPr>
        <w:t>الشرح: الدلالة: قواعد البيوع -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