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4526 — الرقم الفرعي: 99 — الرقم الأصلي: 4526</w:t>
        <w:br/>
      </w:r>
      <w:r>
        <w:rPr>
          <w:rtl w:val="1"/>
        </w:rPr>
        <w:t xml:space="preserve"> حدثنا إسحاق أخبرنا النّضر بن شُميل أخبرنا ابن عَون عن نافع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ابنُ عمرَ، رضي الله عنهما، إذا قرأَ القرآنَ لم يَتَكلَّمْ حتَّى يَفرُغَ منه،  </w:t>
      </w:r>
      <w:r>
        <w:rPr>
          <w:color w:val="000000"/>
          <w:rtl w:val="1"/>
        </w:rPr>
        <w:t xml:space="preserve">فأخَذْتُ عليه يومًا فقرأ سورةَ البقرةِ، حتَّى انتَهَى إلى مكانٍ، قال: تدري فيما أُنزِلَتْ؟ قلتُ: لا، قال: أُنزِلَتْ في كذا وكذا،  </w:t>
      </w:r>
      <w:r>
        <w:rPr>
          <w:color w:val="000000"/>
          <w:rtl w:val="1"/>
        </w:rPr>
        <w:t xml:space="preserve">ثمَّ مَضَى.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