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8593 — الرقم الفرعي: 99 — الرقم الأصلي: 8593</w:t>
        <w:br/>
      </w:r>
      <w:r>
        <w:rPr>
          <w:rtl w:val="1"/>
        </w:rPr>
        <w:t xml:space="preserve"> حدثنا عبد الله حدثني أبي حدثنا حسن بن موسى حدثنا ابن لهيعة حدثنا أبو الأسود عن عبد الله بن رافع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«لا يَجتمعُ الإيمان والكُفر في قلبِ امرئٍ،  </w:t>
      </w:r>
      <w:r>
        <w:rPr>
          <w:color w:val="000000"/>
          <w:rtl w:val="1"/>
        </w:rPr>
        <w:t xml:space="preserve">ولا يَجتَمِعُ الصِّدقُ والكَذِب جميعًا،  </w:t>
      </w:r>
      <w:r>
        <w:rPr>
          <w:color w:val="FF0000"/>
          <w:rtl w:val="1"/>
        </w:rPr>
        <w:t xml:space="preserve">ولا تَجتَمعُ الخِيانَةُ والأَمانةُ جميعًا».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قيمة الحفاظ على الأمانة - قيم الأمانة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