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152 — الرقم الفرعي: 99 — الرقم الأصلي: 152</w:t>
        <w:br/>
      </w:r>
      <w:r>
        <w:rPr>
          <w:rtl w:val="1"/>
        </w:rPr>
        <w:t xml:space="preserve"> حدثنا حسن حدثنا ابن لَهيعة حدثنا أبو الزبير عن جابر أنّ عمر بن الخطاب أخبره أنه سمع رسول الله صلى الله عليه وسلم</w:t>
        <w:br/>
      </w:r>
      <w:r>
        <w:rPr>
          <w:color w:val="000000"/>
          <w:rtl w:val="1"/>
        </w:rPr>
        <w:t xml:space="preserve">يَقُولُ: «سَيَخْرُجُ أَهْلُ مَكَّةَ ثُمَّ لَا يَعبَر بِهَا -أَوْ لَا يَعْبُرُ بِهَا إِلَّا قَلِيلٌ- ثُمَّ تَمْتَلئُ وَتُبْنَى، ثُمَّ يَخْرُجُونَ مِنْهَا فَلا يَعُودُونَ فِيهَا أَبدًا»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الفتن وأشراط الساعة المتعلقة بمكة والمدينة وجزيرة العرب - الفتن المتعلقة بالزمان والمكان #####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