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قال:لا رضاع بعد حولين-كتاب النكاح-صحيح البخاري — رقم الحديث: 5102 — الرقم الفرعي: 99 — الرقم الأصلي: 5102</w:t>
        <w:br/>
      </w:r>
      <w:r>
        <w:rPr>
          <w:rtl w:val="1"/>
        </w:rPr>
        <w:t xml:space="preserve"> حدثنا أبو الوليد حدثنا شعبة عن الأشعث عن أبيه عن مسروق عن عائشة رضي الله عنها</w:t>
        <w:br/>
      </w:r>
      <w:r>
        <w:rPr>
          <w:color w:val="FF0000"/>
          <w:rtl w:val="1"/>
        </w:rPr>
        <w:t xml:space="preserve">أنَّ النبيَّ ﷺ دَخَلَ عليها وعندَها رجلٌ، فكَأنَّه تَغَيَّرَ وجهُه، كأنَّه كَرِهَ ذلكَ،  </w:t>
      </w:r>
      <w:r>
        <w:rPr>
          <w:color w:val="FF0000"/>
          <w:rtl w:val="1"/>
        </w:rPr>
        <w:t xml:space="preserve">فقالت: إنَّه أخي،  </w:t>
      </w:r>
      <w:r>
        <w:rPr>
          <w:color w:val="FF0000"/>
          <w:rtl w:val="1"/>
        </w:rPr>
        <w:t xml:space="preserve">فقال: «انظُرْنَ مَن إخْوانُكُنَّ، فإنَّما الرَّضاعةُ منَ المَجاعةِ».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تحرِّي النبيِّ ﷺ وتثبُّته - التحرِّي والتثبُّت</w:t>
      </w:r>
    </w:p>
    <w:p>
      <w:pPr>
        <w:bidi w:val="1"/>
        <w:jc w:val="start"/>
      </w:pPr>
      <w:r>
        <w:rPr>
          <w:rtl w:val="1"/>
        </w:rPr>
        <w:t>الشرح: الدلالة: أولاً: قيمة النصيحة واستخدام الحكمة والموعظة الحسنة - مظاهر ضبط الانفعالات والعواطف</w:t>
      </w:r>
    </w:p>
    <w:p>
      <w:pPr>
        <w:bidi w:val="1"/>
        <w:jc w:val="start"/>
      </w:pPr>
      <w:r>
        <w:rPr>
          <w:rtl w:val="1"/>
        </w:rPr>
        <w:t>الشرح: الدلالة: قيم التمتع بزينة الله والطيبات من الرزق - القيم الوجدانية والجمالية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