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1909 — الرقم الفرعي: 99 — الرقم الأصلي: 1328 — ج: 2 — ص: 654</w:t>
        <w:br/>
      </w:r>
      <w:r>
        <w:rPr>
          <w:rtl w:val="1"/>
        </w:rPr>
        <w:t xml:space="preserve"> وحدثني عن مالك عن ابن شهاب عن سعيد بن المسيب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لا رِبا في الحَيَوان، وإنَّما نُهي من الحَيَوان عن ثلاثةٍ: عن المَضامِين، والمَلاقَيح، وحَبَلِ الحَبَلة.  </w:t>
      </w:r>
      <w:r>
        <w:rPr>
          <w:color w:val="FF0000"/>
          <w:rtl w:val="1"/>
        </w:rPr>
        <w:t xml:space="preserve">والمَضامِين: بَيعُ ما في بُطونِ إناثِ الإبل.  </w:t>
      </w:r>
      <w:r>
        <w:rPr>
          <w:color w:val="FF0000"/>
          <w:rtl w:val="1"/>
        </w:rPr>
        <w:t xml:space="preserve">والمَلاقِيح: بيعُ ما في ظُهور الجِمال.  </w:t>
      </w:r>
      <w:r>
        <w:rPr>
          <w:color w:val="FF0000"/>
          <w:rtl w:val="1"/>
        </w:rPr>
        <w:t xml:space="preserve">قال مالك: لا يَنبغي أن يَشتريَ أَحدٌ شيئًا من الحيَوانِ بعَينِه إذا كان غائبًا عنه، وإن كان قد رآه ورَضِيَه، على أن يَنقُدَ ثَمنَه، لا قَريبًا ولا بَعيدًا.  </w:t>
      </w:r>
      <w:r>
        <w:rPr>
          <w:color w:val="FF0000"/>
          <w:rtl w:val="1"/>
        </w:rPr>
        <w:t xml:space="preserve">قال مالك: وإنّما كُره ذلك، لأن البائعَ يَنتفِعُ بالثَّمن، ولا يَدري هل تُوجَدُ تلك السِّلعةُ على ما رآها المُبتاع؟ فلذلك كُرِه ذلك، ولا بأسَ به إذا كان مَضمُونًا مَوصُوفًا.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موجودًا حال العقد - المبيع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معلومًا لكل من العاقدين - المبيع</w:t>
      </w:r>
    </w:p>
    <w:p>
      <w:pPr>
        <w:bidi w:val="1"/>
        <w:jc w:val="start"/>
      </w:pPr>
      <w:r>
        <w:rPr>
          <w:rtl w:val="1"/>
        </w:rPr>
        <w:t>الشرح: الدلالة: بيع المضامين - أن يكون المعقود عليه معدومًا حين العقد</w:t>
      </w:r>
    </w:p>
    <w:p>
      <w:pPr>
        <w:bidi w:val="1"/>
        <w:jc w:val="start"/>
      </w:pPr>
      <w:r>
        <w:rPr>
          <w:rtl w:val="1"/>
        </w:rPr>
        <w:t>الشرح: الدلالة: بيع الملاقيح - أن يكون المعقود عليه معدومًا حين العقد</w:t>
      </w:r>
    </w:p>
    <w:p>
      <w:pPr>
        <w:bidi w:val="1"/>
        <w:jc w:val="start"/>
      </w:pPr>
      <w:r>
        <w:rPr>
          <w:rtl w:val="1"/>
        </w:rPr>
        <w:t>الشرح: الدلالة: بيع حبل الحبلة - أن يكون المعقود عليه معدومًا حين العقد</w:t>
      </w:r>
    </w:p>
    <w:p>
      <w:pPr>
        <w:bidi w:val="1"/>
        <w:jc w:val="start"/>
      </w:pPr>
      <w:r>
        <w:rPr>
          <w:rtl w:val="1"/>
        </w:rPr>
        <w:t>الشرح: الدلالة: السلم في الحيوان - كون المسلم فيه معلوم الجنس والنوع والقدر والصفة</w:t>
      </w:r>
    </w:p>
    <w:p>
      <w:pPr>
        <w:bidi w:val="1"/>
        <w:jc w:val="start"/>
      </w:pPr>
      <w:r>
        <w:rPr>
          <w:rtl w:val="1"/>
        </w:rPr>
        <w:t>الشرح: الدلالة: ألا يكون المسلم فيه معينًا - شروط المسلم فيه في بيع السلم</w:t>
      </w:r>
    </w:p>
    <w:p>
      <w:pPr>
        <w:bidi w:val="1"/>
        <w:jc w:val="start"/>
      </w:pPr>
      <w:r>
        <w:rPr>
          <w:rtl w:val="1"/>
        </w:rPr>
        <w:t>الشرح: الدلالة: بيع الحيوان بالحيوان نسيئة - البيوع الربوية</w:t>
      </w:r>
    </w:p>
    <w:p>
      <w:pPr>
        <w:bidi w:val="1"/>
        <w:jc w:val="start"/>
      </w:pPr>
      <w:r>
        <w:rPr>
          <w:rtl w:val="1"/>
        </w:rPr>
        <w:t>الشرح: الدلالة: ما لا يجري فيه الربا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