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رمي الجمار راكباً،وماشياً-كتاب الحجّ-سنن الترمذي — رقم الحديث: 899 — الرقم الفرعي: 99 — الرقم الأصلي: 899</w:t>
        <w:br/>
      </w:r>
      <w:r>
        <w:rPr>
          <w:rtl w:val="1"/>
        </w:rPr>
        <w:t xml:space="preserve"> حدثنا أحمد بن منيع حدثنا يحيى بن زكريا بن أبي زائدة أخبرنا الحجّاج عن الحكم عن مِقْسَم عن ابن عباس</w:t>
        <w:br/>
      </w:r>
      <w:r>
        <w:rPr>
          <w:color w:val="FF0000"/>
          <w:rtl w:val="1"/>
        </w:rPr>
        <w:t xml:space="preserve">«أَنَّ النَّبيَّ ﷺ رَمَى الجَمرَةَ يَومَ النَّحرِ راكِبًا.  </w:t>
      </w:r>
      <w:r>
        <w:rPr>
          <w:color w:val="000000"/>
          <w:rtl w:val="1"/>
        </w:rPr>
        <w:t xml:space="preserve">وفي البابِ عن جابِرٍ، وقُدَامَةَ بنِ عَبدِ اللَّهِ، وأُمِّ سُلَيمانَ بنِ عَمرِو بنِ الأَحوَصِ. </w:t>
      </w:r>
      <w:r>
        <w:rPr>
          <w:color w:val="000000"/>
          <w:rtl w:val="1"/>
        </w:rPr>
        <w:t xml:space="preserve">حَدِيثُ ابنِ عَبَّاسٍ حديثٌ حَسَنٌ.  </w:t>
      </w:r>
      <w:r>
        <w:rPr>
          <w:color w:val="000000"/>
          <w:rtl w:val="1"/>
        </w:rPr>
        <w:t xml:space="preserve">والعَمَلُ على هذا عِندَ بَعضِ أَهلِ العِلمِ، واختارَ بَعضُهُم أَن يَمشِيَ إِلى الجِمارِ.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كيفية الرمي - رمي الجمار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