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 — الرقم الفرعي: 99 — الرقم الأصلي: 269</w:t>
        <w:br/>
      </w:r>
      <w:r>
        <w:rPr>
          <w:rtl w:val="1"/>
        </w:rPr>
        <w:t xml:space="preserve"> حدثنا عفّان حدثنا عبد الواحد حدثنا يزيد الرِّشْك عن معاذة عن أمّ عمرو ملاحظة ابنة عبد الله أنها سمعت عبد الله بن الزبير يحدث أنه سمع عمر بن الخطاب</w:t>
        <w:br/>
      </w:r>
      <w:r>
        <w:rPr>
          <w:color w:val="000000"/>
          <w:rtl w:val="1"/>
        </w:rPr>
        <w:t xml:space="preserve">يَخْطُبُ قَالَ: قَالَ رَسُولُ اللهِ ﷺ: «مَنْ لَبِسَ الحَرِيرَ فِي الدُّنيَا، فَلا يُكْسَاهُ في الْآخِرَةِ»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