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131 — الرقم الفرعي: 99 — الرقم الأصلي: 131</w:t>
        <w:br/>
      </w:r>
      <w:r>
        <w:rPr>
          <w:rtl w:val="1"/>
        </w:rPr>
        <w:t xml:space="preserve"> حدثنا عفّان حدثنا وُهَيب حدثنا عبد الله بن عثمان بن خُثيم عن سعيد بن جُبير عن ابن عباس أن عمر بن الخطاب</w:t>
        <w:br/>
      </w:r>
      <w:r>
        <w:rPr>
          <w:color w:val="000000"/>
          <w:rtl w:val="1"/>
        </w:rPr>
        <w:t xml:space="preserve">أَكَبَّ عَلَى الرُّكْنِ، فَقَالَ: إِنِّي لَأَعلَمُ أنكَ حَجَرٌ، وَلَوْ لَمْ أَرَ حِبِّي ﷺ قبَّلكَ وَاسْتَلمَكَ، مَا اسْتَلمْتُكَ وَلَا قبَّلتُكَ، لَقَدْ كَانَ لَكُمْ فِي رَسُولِ اللهِ أُسْوَةٌ حَسَنَةٌ.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