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النهي عن المُثلة-كتاب الجهاد-سنن أبي داود — رقم الحديث: 2667 — الرقم الفرعي: 99 — الرقم الأصلي: 2667</w:t>
        <w:br/>
      </w:r>
      <w:r>
        <w:rPr>
          <w:rtl w:val="1"/>
        </w:rPr>
        <w:t xml:space="preserve"> حدثنا محمد بن المثنى ثنا معاذ بن هشام حدثني أبي عن قتادة عن الحسن عن الهيّاج بن عمران</w:t>
        <w:br/>
      </w:r>
      <w:r>
        <w:rPr>
          <w:color w:val="000000"/>
          <w:rtl w:val="1"/>
        </w:rPr>
        <w:t xml:space="preserve">أن عمرانَ أبَقَ له غلامٌ، فجعلَ للهِ عليه، لئن قَدَرَ عليه ليقطَعَنَّ يدَه،  </w:t>
      </w:r>
      <w:r>
        <w:rPr>
          <w:color w:val="FF0000"/>
          <w:rtl w:val="1"/>
        </w:rPr>
        <w:t xml:space="preserve">فأرسلني لأسأل فأتيتُ سمُرةَ بنَ جُندب فسألْته، فقال: كان نبي الله ﷺ يحثُّنا على الصدقةِ وينهانا عن المُثلَةِ،  </w:t>
      </w:r>
      <w:r>
        <w:rPr>
          <w:color w:val="FF0000"/>
          <w:rtl w:val="1"/>
        </w:rPr>
        <w:t xml:space="preserve">وأتيتُ عمرانَ بن حُصينٍ فسألتُه، فقال: كان رسولُ الله ﷺ يَحُثُّنا على الصدقة وينهانا عن المُثلَة. </w:t>
      </w:r>
    </w:p>
    <w:p>
      <w:pPr>
        <w:bidi w:val="1"/>
        <w:jc w:val="start"/>
      </w:pPr>
      <w:r>
        <w:rPr>
          <w:rtl w:val="1"/>
        </w:rPr>
        <w:t>درجة الحديث: إسناده حسن / إسناده حسن</w:t>
      </w:r>
    </w:p>
    <w:p>
      <w:pPr>
        <w:bidi w:val="1"/>
        <w:jc w:val="start"/>
      </w:pPr>
      <w:r>
        <w:rPr>
          <w:rtl w:val="1"/>
        </w:rPr>
        <w:t>الشرح: الدلالة: عدم التمثيل بالقتلى وغيرهم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الرحمة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الحث على الصدقة. - مسائل متفرقة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قيمة النهي عن تعذيب الإنسان، أو التمثيل به - مظاهر قيم تكريم الإنسان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