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الاستغفار-كتاب الأدب-سنن ابن ماجة — رقم الحديث: 3817 — الرقم الفرعي: 99 — الرقم الأصلي: 3817</w:t>
        <w:br/>
      </w:r>
      <w:r>
        <w:rPr>
          <w:rtl w:val="1"/>
        </w:rPr>
        <w:t xml:space="preserve"> حدثنا عليّ بن محمد ثنا أبو بكر بن عيّاش عن أبي إسحاق عن أبي المغيرة عن حذيفة</w:t>
        <w:br/>
      </w:r>
      <w:r>
        <w:rPr>
          <w:color w:val="000000"/>
          <w:rtl w:val="1"/>
        </w:rPr>
        <w:t xml:space="preserve">قال: كان في لساني ذَرَبٌ على أَهْلي، وكان لا يَعْدُوهم إلى غَيرِهم،  </w:t>
      </w:r>
      <w:r>
        <w:rPr>
          <w:color w:val="FF0000"/>
          <w:rtl w:val="1"/>
        </w:rPr>
        <w:t xml:space="preserve">فذكرتُ ذلك للنّبيِّ ﷺ فقال: «أَينَ أَنتَ مِن الاستِغفار؟ تَستغفِرُ اللهَ، في اليومِ سَبعينَ مرَّةً».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مضطرب الحديث،،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