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الأخذ في السنّة واجتناب البدع-كتاب العلم-سنن الترمذي — رقم الحديث: 2678 — الرقم الفرعي: 99 — الرقم الأصلي: 2680</w:t>
        <w:br/>
      </w:r>
      <w:r>
        <w:rPr>
          <w:rtl w:val="1"/>
        </w:rPr>
        <w:t xml:space="preserve"> حدثنا مسلم بن حاتم الأنصاريّ البصريّ حدثنا محمد بن عبد الله الأنصاريّ عن أبيه عن عليّ بن زيد عن سعيد بن المسيب قال:قال أنس بن مالك</w:t>
        <w:br/>
      </w:r>
      <w:r>
        <w:rPr>
          <w:color w:val="FF0000"/>
          <w:rtl w:val="1"/>
        </w:rPr>
        <w:t xml:space="preserve">قالَ لي رسولُ الله ﷺ: «يا بُنيَّ، إن قَدَرْتَ أن تُصبِحَ وتُمسِيَ ليس في قَلبِكَ غِشٌّ لأَحدٍ، فافعَلْ»  </w:t>
      </w:r>
      <w:r>
        <w:rPr>
          <w:color w:val="000000"/>
          <w:rtl w:val="1"/>
        </w:rPr>
        <w:t xml:space="preserve">ثم قالَ لي: «يا بُنيَّ، وذلك مِن سُنَّتي، ومَن أَحيا سُنَّتي فقد أَحياني، ومَن أَحياني كانَ مَعِي في الجنَّة».  </w:t>
      </w:r>
      <w:r>
        <w:rPr>
          <w:color w:val="000000"/>
          <w:rtl w:val="1"/>
        </w:rPr>
        <w:t xml:space="preserve">وفي الحديث قصّةٌ طويلة.  </w:t>
      </w:r>
      <w:r>
        <w:rPr>
          <w:color w:val="000000"/>
          <w:rtl w:val="1"/>
        </w:rPr>
        <w:t xml:space="preserve">هذا حديثٌ حسنٌ غريبٌ من هذا الوجه.  </w:t>
      </w:r>
      <w:r>
        <w:rPr>
          <w:color w:val="000000"/>
          <w:rtl w:val="1"/>
        </w:rPr>
        <w:t xml:space="preserve">ومحمد بنُ عبد الله الأنصاريّ ثقةٌ، وأبوه ثقةٌ،  </w:t>
      </w:r>
      <w:r>
        <w:rPr>
          <w:color w:val="000000"/>
          <w:rtl w:val="1"/>
        </w:rPr>
        <w:t xml:space="preserve">وعليُّ بن زَيدٍ صدوقٌ، إلّا أنّه ربّما يَرفعُ الشّيءَ الذي يُوقِفُه غيرُه.  </w:t>
      </w:r>
      <w:r>
        <w:rPr>
          <w:color w:val="000000"/>
          <w:rtl w:val="1"/>
        </w:rPr>
        <w:t xml:space="preserve">وسمِعتُ محمد بنَ بشَّارٍ يقول: قال أَبو الوليد: قال شُعبة: حدَّثنا عليُّ بنُ زيد، وكان رفّاعًا.  </w:t>
      </w:r>
      <w:r>
        <w:rPr>
          <w:color w:val="000000"/>
          <w:rtl w:val="1"/>
        </w:rPr>
        <w:t xml:space="preserve">ولا نَعرفُ لسَعيد بنِ المسيّب عن أَنسٍ رِوايةً إلّا هذا الحديثَ بطُولِه.  </w:t>
      </w:r>
      <w:r>
        <w:rPr>
          <w:color w:val="000000"/>
          <w:rtl w:val="1"/>
        </w:rPr>
        <w:t xml:space="preserve">وقد رَوى عبّادٌ المِنقَريُّ هذا الحديثَ عن عليّ بن زيدٍ عن أنس، ولم يَذكُر فيه عن سعيد بنِ المسيّب.  </w:t>
      </w:r>
      <w:r>
        <w:rPr>
          <w:color w:val="000000"/>
          <w:rtl w:val="1"/>
        </w:rPr>
        <w:t xml:space="preserve">وذاكرتُ به محمدَ بنَ إسماعيل فلم يَعرِفْه، ولم يَعرِف لسَعيد بنِ المسيّب عن أنسٍ هذا الحديثَ، ولا غيرَه.  </w:t>
      </w:r>
      <w:r>
        <w:rPr>
          <w:color w:val="000000"/>
          <w:rtl w:val="1"/>
        </w:rPr>
        <w:t xml:space="preserve">ومات أَنس بنُ مالكٍ سنة ثلاثٍ وتسعين،  </w:t>
      </w:r>
      <w:r>
        <w:rPr>
          <w:color w:val="000000"/>
          <w:rtl w:val="1"/>
        </w:rPr>
        <w:t xml:space="preserve">ومات سعيد بنُ المسيّب بعدَه بسنَتَين، مات سنةَ خَمسٍ وتِسعِين.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الغش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أوطان الرواة و تواريخهم - تواريخ الرواة ووفياتهم وأوطانهم</w:t>
      </w:r>
    </w:p>
    <w:p>
      <w:pPr>
        <w:bidi w:val="1"/>
        <w:jc w:val="start"/>
      </w:pPr>
      <w:r>
        <w:rPr>
          <w:rtl w:val="1"/>
        </w:rPr>
        <w:t>الشرح: الدلالة: السنة الحسنة. - ما ورد في إعتبار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شرط الأداء - أداء الحديث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صدوق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تواريخ وفيات الرواة - تواريخ الرواة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