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المنديل بعد الوضوء وبعد الغسل-كتاب الطهارة وسننها-سنن ابن ماجة — رقم الحديث: 468 — الرقم الفرعي: 99 — الرقم الأصلي: 468</w:t>
        <w:br/>
      </w:r>
      <w:r>
        <w:rPr>
          <w:rtl w:val="1"/>
        </w:rPr>
        <w:t xml:space="preserve"> حدثنا العبّاس بن الوليد و أحمد بن الأزهر قالا:ثنا مروان بن محمد ثنا يزيد بن السّمط ثنا الوضِين بن عطاء عن محفوظ بن علقمة عن سلمان الفارسيّ</w:t>
        <w:br/>
      </w:r>
      <w:r>
        <w:rPr>
          <w:color w:val="FF0000"/>
          <w:rtl w:val="1"/>
        </w:rPr>
        <w:t xml:space="preserve">أنَّ رسولَ الله ﷺ تَوضَّأَ،  </w:t>
      </w:r>
      <w:r>
        <w:rPr>
          <w:color w:val="FF0000"/>
          <w:rtl w:val="1"/>
        </w:rPr>
        <w:t xml:space="preserve">فقَلَبَ جُبّةَ صُوفٍ كانت عليه، فمَسَح بها وَجهَه.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الجبة - أسماء الملابس</w:t>
      </w:r>
    </w:p>
    <w:p>
      <w:pPr>
        <w:bidi w:val="1"/>
        <w:jc w:val="start"/>
      </w:pPr>
      <w:r>
        <w:rPr>
          <w:rtl w:val="1"/>
        </w:rPr>
        <w:t>الشرح: الدلالة: المرسل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تنشيف أعضاء الوضوء - مباحات الوضوء</w:t>
      </w:r>
    </w:p>
    <w:p>
      <w:pPr>
        <w:bidi w:val="1"/>
        <w:jc w:val="start"/>
      </w:pPr>
      <w:r>
        <w:rPr>
          <w:rtl w:val="1"/>
        </w:rPr>
        <w:t>الشرح: الدلالة: السماع - طرق تحمل الحديث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