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الوكالة في الصرف والميزان-كتاب الوكالة-صحيح البخاري — رقم الحديث: 2303 — الرقم الفرعي: 99 — الرقم الأصلي: 2303</w:t>
        <w:br/>
      </w:r>
      <w:r>
        <w:rPr>
          <w:rtl w:val="1"/>
        </w:rPr>
        <w:t xml:space="preserve"> حدثنا عبد الله بن يوسف أخبرنا مالك عن عبد المجيد بن سهيل بن عبد الرحمن بن عوف عن سعيد بن المسيب عن أبي سعيد الخدريّ و أبي هريرة رضي الله عنهما</w:t>
        <w:br/>
      </w:r>
      <w:r>
        <w:rPr>
          <w:color w:val="FF0000"/>
          <w:rtl w:val="1"/>
        </w:rPr>
        <w:t xml:space="preserve">أنَّ رسولَ الله ﷺ استَعمَلَ رجلًا على خَيْبرَ، فجاءَهم بتَمْرٍ جَنِيبٍ، فقال: «أكُلُّ تمرِ خَيْبرَ هكذا؟»  </w:t>
      </w:r>
      <w:r>
        <w:rPr>
          <w:color w:val="FF0000"/>
          <w:rtl w:val="1"/>
        </w:rPr>
        <w:t xml:space="preserve">فقال: إنّا لَنَأْخُذُ الصّاعَ من هذا بالصّاعَينِ، والصّاعَينِ بالثَّلاثةِ،  </w:t>
      </w:r>
      <w:r>
        <w:rPr>
          <w:color w:val="FF0000"/>
          <w:rtl w:val="1"/>
        </w:rPr>
        <w:t xml:space="preserve">فقال: «لا تَفْعَلْ، بِعِ الجَمْعَ بالدَّراهمِ، ثمَّ ابتَعْ بالدَّراهمِ جَنِيبًا»  </w:t>
      </w:r>
      <w:r>
        <w:rPr>
          <w:color w:val="FF0000"/>
          <w:rtl w:val="1"/>
        </w:rPr>
        <w:t xml:space="preserve">وقال في المِيزانِ مِثلَ ذلكَ. 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الضوابط التشريعية(الأحكام الشرعية)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الاهتمام -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أسلوب البديل الإسلامي.</w:t>
      </w:r>
    </w:p>
    <w:p>
      <w:pPr>
        <w:bidi w:val="1"/>
        <w:jc w:val="start"/>
      </w:pPr>
      <w:r>
        <w:rPr>
          <w:rtl w:val="1"/>
        </w:rPr>
        <w:t>الشرح: الدلالة: التقويم</w:t>
      </w:r>
    </w:p>
    <w:p>
      <w:pPr>
        <w:bidi w:val="1"/>
        <w:jc w:val="start"/>
      </w:pPr>
      <w:r>
        <w:rPr>
          <w:rtl w:val="1"/>
        </w:rPr>
        <w:t>الشرح: الدلالة: تقويم الأداء (الفردي والمؤسسي)</w:t>
      </w:r>
    </w:p>
    <w:p>
      <w:pPr>
        <w:bidi w:val="1"/>
        <w:jc w:val="start"/>
      </w:pPr>
      <w:r>
        <w:rPr>
          <w:rtl w:val="1"/>
        </w:rPr>
        <w:t>الشرح: الدلالة: تحقيق شرعية العمل (قانونيته)</w:t>
      </w:r>
    </w:p>
    <w:p>
      <w:pPr>
        <w:bidi w:val="1"/>
        <w:jc w:val="start"/>
      </w:pPr>
      <w:r>
        <w:rPr>
          <w:rtl w:val="1"/>
        </w:rPr>
        <w:t>الشرح: الدلالة: الرقابة الخارجية</w:t>
      </w:r>
    </w:p>
    <w:p>
      <w:pPr>
        <w:bidi w:val="1"/>
        <w:jc w:val="start"/>
      </w:pPr>
      <w:r>
        <w:rPr>
          <w:rtl w:val="1"/>
        </w:rPr>
        <w:t>الشرح: الدلالة: الملاحظة الشخصية</w:t>
      </w:r>
    </w:p>
    <w:p>
      <w:pPr>
        <w:bidi w:val="1"/>
        <w:jc w:val="start"/>
      </w:pPr>
      <w:r>
        <w:rPr>
          <w:rtl w:val="1"/>
        </w:rPr>
        <w:t>الشرح: الدلالة: اختيار رئيس الدولة للأمراء - الإمارة والولاية</w:t>
      </w:r>
    </w:p>
    <w:p>
      <w:pPr>
        <w:bidi w:val="1"/>
        <w:jc w:val="start"/>
      </w:pPr>
      <w:r>
        <w:rPr>
          <w:rtl w:val="1"/>
        </w:rPr>
        <w:t>الشرح: الدلالة: تطبيق أحكام الإسلام والمحافظة على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اختيار الأكفياء للوظائف العامة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حكم الربا  وجزاء آكله والمعاون عليه - الربا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