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التّخشّع في الصلاة-أبواب الصلاة-سنن الترمذي — رقم الحديث: 385 — الرقم الفرعي: 99 — الرقم الأصلي: 385</w:t>
        <w:br/>
      </w:r>
      <w:r>
        <w:rPr>
          <w:rtl w:val="1"/>
        </w:rPr>
        <w:t xml:space="preserve"> حدثنا سُويد بن نصر حدثنا عبد الله بن المبارك أخبرنا الليث بن سعد أخبرنا عبد ربّه بن سعيد عن عمران بن أنس عن عبد الله بن نافع بن العمياء عن ربيعة بن الحارث عن الفضل بن عباس قال:قال رسول الله صلى الله عليه وسلم</w:t>
        <w:br/>
      </w:r>
      <w:r>
        <w:rPr>
          <w:color w:val="000000"/>
          <w:rtl w:val="1"/>
        </w:rPr>
        <w:t xml:space="preserve">«الصّلاةُ مَثْنى مَثْنى، تَشهَّدُ في كلِّ رَكعتَين،  </w:t>
      </w:r>
      <w:r>
        <w:rPr>
          <w:color w:val="FF0000"/>
          <w:rtl w:val="1"/>
        </w:rPr>
        <w:t xml:space="preserve">‌وتَخَشَّعُ، وتَضرَّعُ، وتَمَسكَنُ،  </w:t>
      </w:r>
      <w:r>
        <w:rPr>
          <w:color w:val="FF0000"/>
          <w:rtl w:val="1"/>
        </w:rPr>
        <w:t xml:space="preserve">‌وتُقْنِعُ يدَيك، يقول: تَرفَعُهما إلى ربِّك، مُستقبِلًا ببُطونِهما وجهَكَ، وتقول: يا ربِّ يا ربّ،  </w:t>
      </w:r>
      <w:r>
        <w:rPr>
          <w:color w:val="000000"/>
          <w:rtl w:val="1"/>
        </w:rPr>
        <w:t xml:space="preserve">ومَن لم يَفعَلْ ذلك فهو كذا وكذا». </w:t>
      </w:r>
      <w:r>
        <w:rPr>
          <w:color w:val="000000"/>
          <w:rtl w:val="1"/>
        </w:rPr>
        <w:t xml:space="preserve">وقال غيرُ ابنِ المُبارَك في هذا الحديث: مَن لم يَفعَل ذلك فهي خِدَاج. </w:t>
      </w:r>
      <w:r>
        <w:rPr>
          <w:color w:val="000000"/>
          <w:rtl w:val="1"/>
        </w:rPr>
        <w:t xml:space="preserve">سمعتُ محمّدَ بنَ إسماعيل يقول: روَى شُعبةُ هذا الحديث عن عبدِ ربِّه بن سَعيد فأخطأ في مَواضِع، فقال: عن أَنس بن أَبي أنس، وهو عِمرانُ بن أَبي أنس، وقال: عن عبد الله بن الحارث، وإنما هو عبدُ الله بن نافع ابن العَمْياء، عن رَبيعةَ بنِ الحارث، وقال شعبةُ: عن عبدِ الله بن الحارث، عن المُطَّلب، عن النّبيِّ ﷺ، وإنّما هو عن رَبيعةَ بن الحارث بن عبد المطَّلب، عن الفَضلِ بنِ عبّاس، عن النّبيِّ ﷺ. </w:t>
      </w:r>
      <w:r>
        <w:rPr>
          <w:color w:val="000000"/>
          <w:rtl w:val="1"/>
        </w:rPr>
        <w:t xml:space="preserve">قال محمد: وحديثُ اللَّيث بن سعد أصحُّ من حديث شُعبة. </w:t>
      </w:r>
    </w:p>
    <w:p>
      <w:pPr>
        <w:bidi w:val="1"/>
        <w:jc w:val="start"/>
      </w:pPr>
      <w:r>
        <w:rPr>
          <w:rtl w:val="1"/>
        </w:rPr>
        <w:t xml:space="preserve">درجة الحديث: إسناده ضعيف  / إسناده ضعيف </w:t>
      </w:r>
    </w:p>
    <w:p>
      <w:pPr>
        <w:bidi w:val="1"/>
        <w:jc w:val="start"/>
      </w:pPr>
      <w:r>
        <w:rPr>
          <w:rtl w:val="1"/>
        </w:rPr>
        <w:t>الشرح: الدلالة: رفع اليدين عند الدعاء - آداب الذكر والدعاء</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توضيح المفهوم - الأساليب التعليمية</w:t>
      </w:r>
    </w:p>
    <w:p>
      <w:pPr>
        <w:bidi w:val="1"/>
        <w:jc w:val="start"/>
      </w:pPr>
      <w:r>
        <w:rPr>
          <w:rtl w:val="1"/>
        </w:rPr>
        <w:t>الشرح: الدلالة: التذلل والتمسكن والتباؤس  - الخشوع في الصلاة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