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ستكون فتن كقطع الليل المظلم-كتاب الفتن-سنن الترمذي — رقم الحديث: 2198 — الرقم الفرعي: 99 — الرقم الأصلي: 2199</w:t>
        <w:br/>
      </w:r>
      <w:r>
        <w:rPr>
          <w:rtl w:val="1"/>
        </w:rPr>
        <w:t xml:space="preserve"> حدثنا صالح بن عبد الله حدثنا جعفر بن سليمان عن هشام عن الحسن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يقولُ في هذا الحديث: «يُصبِحُ الرّجلُ مُؤمنًا ويُمسِي كافرًا، ويُمسِي مُؤمنًا ويُصبِحُ كافرًا»  </w:t>
      </w:r>
      <w:r>
        <w:rPr>
          <w:color w:val="FF0000"/>
          <w:rtl w:val="1"/>
        </w:rPr>
        <w:t xml:space="preserve">قال: يُصبحُ مُحرِّمًا لدَمِ أَخيهِ وعِرْضِه ومالِه، ويُمسِي مُستحِلًّا له، ويُمسِي مُحرِّمًا لدَمِ أَخيهِ وعِرْضِه ومالِه، ويُصبحُ مَستحِلًّا له.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