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الرجل تفوته الصلوات بأيّتهنّ يبدأ-أبواب الصلاة-سنن الترمذي — رقم الحديث: 179 — الرقم الفرعي: 99 — الرقم الأصلي: 179</w:t>
        <w:br/>
      </w:r>
      <w:r>
        <w:rPr>
          <w:rtl w:val="1"/>
        </w:rPr>
        <w:t xml:space="preserve"> حدثنا هنّاد حدثنا هُشيم عن أبي الزبير عن نافع بن جُبير بن مُطعم عن أبي عبيدة بن عبد الله بن مسعود قال:قال عبد الله بن مسعود</w:t>
        <w:br/>
      </w:r>
      <w:r>
        <w:rPr>
          <w:color w:val="FF0000"/>
          <w:rtl w:val="1"/>
        </w:rPr>
        <w:t xml:space="preserve">إنَّ المُشرِكينَ شَغَلوا رَسولَ الله ﷺ عن أَربَعِ صَلَواتٍ يومَ الخَندَق، حتَّى ذَهَبَ مِن اللَّيلِ ما شاءَ الله، </w:t>
      </w:r>
      <w:r>
        <w:rPr>
          <w:color w:val="FF0000"/>
          <w:rtl w:val="1"/>
        </w:rPr>
        <w:t xml:space="preserve">فأَمَرَ بلالًا فأذَّنَ، </w:t>
      </w:r>
      <w:r>
        <w:rPr>
          <w:color w:val="FF0000"/>
          <w:rtl w:val="1"/>
        </w:rPr>
        <w:t xml:space="preserve">ثمَّ أَقامَ فصَلَّى الظُّهرَ، ثمَّ أَقامَ فصَلَّى العصرَ، ثمَّ أَقامَ فصَلَّى المَغرِبَ، ثمَّ أَقامَ فصَلَّى العِشاء. </w:t>
      </w:r>
      <w:r>
        <w:rPr>
          <w:color w:val="000000"/>
          <w:rtl w:val="1"/>
        </w:rPr>
        <w:t xml:space="preserve">وفي الباب عن أبي سعيد، وجابر. </w:t>
      </w:r>
      <w:r>
        <w:rPr>
          <w:color w:val="000000"/>
          <w:rtl w:val="1"/>
        </w:rPr>
        <w:t xml:space="preserve">قال أبو عيسى: حديثُ عبدِ الله ليسَ بإسنادِهِ بأسٌ، إلّا أنَّ أبا عُبيدةَ لم يَسمَع مِن عبدِ الله. </w:t>
      </w:r>
      <w:r>
        <w:rPr>
          <w:color w:val="000000"/>
          <w:rtl w:val="1"/>
        </w:rPr>
        <w:t xml:space="preserve">وهو الذي اختارَهُ بعضُ أَهلِ العِلم في الفَوائِت؛ أن يُقيمَ الرَّجلُ لكلِّ صلاةٍ إذا قَضَاها، </w:t>
      </w:r>
      <w:r>
        <w:rPr>
          <w:color w:val="000000"/>
          <w:rtl w:val="1"/>
        </w:rPr>
        <w:t xml:space="preserve">وإن لم يُقِم أجزَأَه، وهو قولُ الشَّافِعي.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صيانة المعنويات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إدامة المعنويات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قضاء صلاة الفريضة - الصلوات المفروضة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الصلوات المتعددة بوضوء واحد - مباحات الوضوء</w:t>
      </w:r>
    </w:p>
    <w:p>
      <w:pPr>
        <w:bidi w:val="1"/>
        <w:jc w:val="start"/>
      </w:pPr>
      <w:r>
        <w:rPr>
          <w:rtl w:val="1"/>
        </w:rPr>
        <w:t>الشرح: الدلالة: الأذان للصلوات الفائتة - أسباب الأذان</w:t>
      </w:r>
    </w:p>
    <w:p>
      <w:pPr>
        <w:bidi w:val="1"/>
        <w:jc w:val="start"/>
      </w:pPr>
      <w:r>
        <w:rPr>
          <w:rtl w:val="1"/>
        </w:rPr>
        <w:t>الشرح: الدلالة: الإقامة لكل صلاة عند الجمع والقضاء - إقامة الصلاة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تطبيق أحكام الإسلام والمحافظة على الدين - واجبات رئيس الدولة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