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العمرى-سنن النسائي — رقم الحديث: 3726 — الرقم الفرعي: 99 — الرقم الأصلي: 3726</w:t>
        <w:br/>
      </w:r>
      <w:r>
        <w:rPr>
          <w:rtl w:val="1"/>
        </w:rPr>
        <w:t xml:space="preserve"> أخبرنا محمد بن حاتم قال:حدثنا حبّان قال:أنبأنا عبد الله عن محمد بن إسحاق قال:حدثنا مكحول عن طاوُس</w:t>
        <w:br/>
      </w:r>
      <w:r>
        <w:rPr>
          <w:color w:val="FF0000"/>
          <w:rtl w:val="1"/>
        </w:rPr>
        <w:t xml:space="preserve">بَتَلَ رسولُ الله ﷺ العُمرَى والرُّقبَى.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p>
      <w:pPr>
        <w:bidi w:val="1"/>
        <w:jc w:val="start"/>
      </w:pPr>
      <w:r>
        <w:rPr>
          <w:rtl w:val="1"/>
        </w:rPr>
        <w:t>الشرح: الدلالة: الرقبى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