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لبس الصوف والشعر-كتاب اللباس-سنن أبي داود — رقم الحديث: 4033 — الرقم الفرعي: 99 — الرقم الأصلي: 4033</w:t>
        <w:br/>
      </w:r>
      <w:r>
        <w:rPr>
          <w:rtl w:val="1"/>
        </w:rPr>
        <w:t xml:space="preserve"> حدثنا عمرو بن عون ثنا أبو عوانة عن قتادة عن أبي بردة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قالَ لي أَبي: يا بُنيَّ، لو رأَيتَنا ونحنُ مع نبيِّنا ﷺ وقد أَصابَتْنا السَّماءُ، حَسِبتَ أنَّ رِيحَنا رِيحُ الضَّأْن. </w:t>
      </w:r>
      <w:r>
        <w:rPr>
          <w:color w:val="FF0000"/>
          <w:rtl w:val="1"/>
        </w:rPr>
        <w:t xml:space="preserve">قال أَبو داود: يعني مِن لِباسِ الصُّوف.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