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لعق الأصابع والقصعة،وأكل اللقمة الساقطة بعد مسح ما يصيبها-كتاب الأشربة-صحيح مسلم — رقم الحديث: 2032 — الرقم الفرعي: 1 — الرقم الأصلي: 2032</w:t>
        <w:br/>
      </w:r>
      <w:r>
        <w:rPr>
          <w:rtl w:val="1"/>
        </w:rPr>
        <w:t xml:space="preserve"> حدثنا أبو بكر بن أبي شيبة و زهير بن حرب و محمد بن حاتم قالوا:حدثنا ابن مهديّ عن سفيان عن سعد بن إبراهيم عن ابن كعب بن مالك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النّبيَّ ﷺ يَلعَقُ أَصابِعَه الثلاثَ مِن الطعامِ. </w:t>
      </w:r>
      <w:r>
        <w:rPr>
          <w:color w:val="000000"/>
          <w:rtl w:val="1"/>
        </w:rPr>
        <w:t xml:space="preserve"> ولم يَذكر ابنُ حاتم: الثلاث.  </w:t>
      </w:r>
      <w:r>
        <w:rPr>
          <w:color w:val="000000"/>
          <w:rtl w:val="1"/>
        </w:rPr>
        <w:t xml:space="preserve">وقال ابنُ أبي شَيبة في روايته: عن عبد الرّحمن بنِ كعب، عن أَبيه. </w:t>
      </w:r>
    </w:p>
    <w:p>
      <w:pPr>
        <w:bidi w:val="1"/>
        <w:jc w:val="start"/>
      </w:pPr>
      <w:r>
        <w:rPr>
          <w:rtl w:val="1"/>
        </w:rPr>
        <w:t>الشرح: الدلالة: لعق الأصابع والصحفة - آداب تناول الطعام والشراب</w:t>
      </w:r>
    </w:p>
    <w:p>
      <w:pPr>
        <w:bidi w:val="1"/>
        <w:jc w:val="start"/>
      </w:pPr>
      <w:r>
        <w:rPr>
          <w:rtl w:val="1"/>
        </w:rPr>
        <w:t xml:space="preserve">الشرح: الدلالة: لعق أصابعه ﷺ بعد الطعام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