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المعانقة والقُبلة-كتاب الاستئذان والآداب-سنن الترمذي — رقم الحديث: 2732 — الرقم الفرعي: 99 — الرقم الأصلي: 2733</w:t>
        <w:br/>
      </w:r>
      <w:r>
        <w:rPr>
          <w:rtl w:val="1"/>
        </w:rPr>
        <w:t xml:space="preserve"> حدثنا محمد بن إسماعيل حدثنا إبراهيم بن يحيى بن محمد بن عبّاد المدنيّ حدثني أبي يحيى بن محمد عن محمد بن إسحاق عن محمد بن مسلم الزهريّ عن عروة بن الزبير عن عائشة</w:t>
        <w:br/>
      </w:r>
      <w:r>
        <w:rPr>
          <w:color w:val="000000"/>
          <w:rtl w:val="1"/>
        </w:rPr>
        <w:t xml:space="preserve">قالت:  </w:t>
      </w:r>
      <w:r>
        <w:rPr>
          <w:color w:val="FF0000"/>
          <w:rtl w:val="1"/>
        </w:rPr>
        <w:t xml:space="preserve">قَدِم زيدُ بنُ حارثةَ المدينةَ ورسولُ الله ﷺ في بَيتي، فأَتاهُ فقَرَع البابَ،  </w:t>
      </w:r>
      <w:r>
        <w:rPr>
          <w:color w:val="FF0000"/>
          <w:rtl w:val="1"/>
        </w:rPr>
        <w:t xml:space="preserve">فقامَ إليه رسولُ الله ﷺ عُريانًا يَجرُّ ثَوبَه،  </w:t>
      </w:r>
      <w:r>
        <w:rPr>
          <w:color w:val="000000"/>
          <w:rtl w:val="1"/>
        </w:rPr>
        <w:t xml:space="preserve">واللهِ ما رَأَيتُه عُريانًا قَبْلَه ولا بَعدَهُ،  </w:t>
      </w:r>
      <w:r>
        <w:rPr>
          <w:color w:val="FF0000"/>
          <w:rtl w:val="1"/>
        </w:rPr>
        <w:t xml:space="preserve">فاعتَنقَه وقبَّلَه. </w:t>
      </w:r>
      <w:r>
        <w:rPr>
          <w:color w:val="000000"/>
          <w:rtl w:val="1"/>
        </w:rPr>
        <w:t xml:space="preserve">هذا حديثٌ حسنٌ غريبٌ، لا نَعرفُه من حديثِ الزُّهريِّ إلَّا من هذا الوَجْه. </w:t>
      </w:r>
    </w:p>
    <w:p>
      <w:pPr>
        <w:bidi w:val="1"/>
        <w:jc w:val="start"/>
      </w:pPr>
      <w:r>
        <w:rPr>
          <w:rtl w:val="1"/>
        </w:rPr>
        <w:t xml:space="preserve">درجة الحديث: إسناده ضعيف </w:t>
      </w:r>
    </w:p>
    <w:p>
      <w:pPr>
        <w:bidi w:val="1"/>
        <w:jc w:val="start"/>
      </w:pPr>
      <w:r>
        <w:rPr>
          <w:rtl w:val="1"/>
        </w:rPr>
        <w:t>الشرح: الدلالة: فضل السلام والمصافحة والمعانقة - التكافل الاجتماعي ( الرعاية والخدمة الاجتماعية)</w:t>
      </w:r>
    </w:p>
    <w:p>
      <w:pPr>
        <w:bidi w:val="1"/>
        <w:jc w:val="start"/>
      </w:pPr>
      <w:r>
        <w:rPr>
          <w:rtl w:val="1"/>
        </w:rPr>
        <w:t>الشرح: الدلالة: التواضع - القيم والأخلاق المحمودة</w:t>
      </w:r>
    </w:p>
    <w:p>
      <w:pPr>
        <w:bidi w:val="1"/>
        <w:jc w:val="start"/>
      </w:pPr>
      <w:r>
        <w:rPr>
          <w:rtl w:val="1"/>
        </w:rPr>
        <w:t>الشرح: الدلالة: الأخوة والمحبة والألفة - القيم والأخلاق المحمودة</w:t>
      </w:r>
    </w:p>
    <w:p>
      <w:pPr>
        <w:bidi w:val="1"/>
        <w:jc w:val="start"/>
      </w:pPr>
      <w:r>
        <w:rPr>
          <w:rtl w:val="1"/>
        </w:rPr>
        <w:t>الشرح: الدلالة: آداب الجلوس والمجالس والسلام - الآداب الاجتماعية</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مناقب المهاجرين) - مناقب المهاجرين</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 xml:space="preserve">الشرح: الدلالة: تواضعه ﷺ في معاملة أصحابه - تواضع النبي ﷺ ورفقه وحلمه </w:t>
      </w:r>
    </w:p>
    <w:p>
      <w:pPr>
        <w:bidi w:val="1"/>
        <w:jc w:val="start"/>
      </w:pPr>
      <w:r>
        <w:rPr>
          <w:rtl w:val="1"/>
        </w:rPr>
        <w:t>الشرح: الدلالة: ألألفة والتواصل - الكفايات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