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ترك القراءة في صلاته بفاتحة الكتاب-كتاب الصلاة-سنن أبي داود — رقم الحديث: 824 — الرقم الفرعي: 99 — الرقم الأصلي: 824</w:t>
        <w:br/>
      </w:r>
      <w:r>
        <w:rPr>
          <w:rtl w:val="1"/>
        </w:rPr>
        <w:t xml:space="preserve"> حدثنا الربيع بن سليمان الأزديّ ثنا عبد الله بن يوسف ثنا الهيثم بن حميد أخبرني زيد بن واقد عن مكحول عن نافع بن محمود بن الربيع الأنصاريّ قال نافع:</w:t>
        <w:br/>
      </w:r>
      <w:r>
        <w:rPr>
          <w:color w:val="FF0000"/>
          <w:rtl w:val="1"/>
        </w:rPr>
        <w:t xml:space="preserve">أبطأَ عُبَادةُ بنُ الصّامتِ عن صَلاةِ الصُّبح، </w:t>
      </w:r>
      <w:r>
        <w:rPr>
          <w:color w:val="000000"/>
          <w:rtl w:val="1"/>
        </w:rPr>
        <w:t xml:space="preserve">فأقامَ أبو نُعَيمٍ المُؤذِّنُ الصّلاةَ، فصَلَّى أَبو نُعَيمٍ بالنّاس، </w:t>
      </w:r>
      <w:r>
        <w:rPr>
          <w:color w:val="000000"/>
          <w:rtl w:val="1"/>
        </w:rPr>
        <w:t xml:space="preserve">وأقبلَ عُبادةُ وأنا معَهُ حتى صَففْنا خلفَ أَبي نُعَيم، </w:t>
      </w:r>
      <w:r>
        <w:rPr>
          <w:color w:val="000000"/>
          <w:rtl w:val="1"/>
        </w:rPr>
        <w:t xml:space="preserve">وأَبو نُعَيمٍ يَجهَرُ بالقِراءةِ، فجَعَلَ عُبادةُ يقرأُ بأُمِّ القُرآن، </w:t>
      </w:r>
      <w:r>
        <w:rPr>
          <w:color w:val="000000"/>
          <w:rtl w:val="1"/>
        </w:rPr>
        <w:t xml:space="preserve">فلمّا انصَرَفَ قلتُ لعُبادةَ: سَمعتُكَ تقرأُ بأُمِّ القُرآن وأَبو نُعَيمٍ يَجهَرُ! </w:t>
      </w:r>
      <w:r>
        <w:rPr>
          <w:color w:val="000000"/>
          <w:rtl w:val="1"/>
        </w:rPr>
        <w:t xml:space="preserve">قال: أَجَلْ، صلَّى بنا رسولُ الله - صلى الله عليه وسلم - بعضَ الصَّلواتِ التي يُجهرُ فيها بالقِراءةِ، </w:t>
      </w:r>
      <w:r>
        <w:rPr>
          <w:color w:val="000000"/>
          <w:rtl w:val="1"/>
        </w:rPr>
        <w:t xml:space="preserve">قال: فالْتبَسَتْ عليه القِراءةُ، فلمَّا انصرَفَ أقبلَ علينا بوَجْهِه وقال: «هل تَقرؤُونَ إذا جَهرْتُ بالقِراءة؟» </w:t>
      </w:r>
      <w:r>
        <w:rPr>
          <w:color w:val="000000"/>
          <w:rtl w:val="1"/>
        </w:rPr>
        <w:t xml:space="preserve">فقالَ بعضُنا: إنا نَصنَعُ ذلك. قال: «فلا، وأنا أقولُ: ما لي يُنازِعُني القرآنُ! </w:t>
      </w:r>
      <w:r>
        <w:rPr>
          <w:color w:val="000000"/>
          <w:rtl w:val="1"/>
        </w:rPr>
        <w:t xml:space="preserve">فلا تَقرَؤُوا بشيءٍ مِن القُرآنِ إذا جَهَرتُ إلّا بأمِّ القُرآنِ».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