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من ترك القراءة في صلاته بفاتحة الكتاب-كتاب الصلاة-سنن أبي داود — رقم الحديث: 823 — الرقم الفرعي: 99 — الرقم الأصلي: 823</w:t>
        <w:br/>
      </w:r>
      <w:r>
        <w:rPr>
          <w:rtl w:val="1"/>
        </w:rPr>
        <w:t xml:space="preserve"> حدثنا عبد الله بن محمد النفيليّ ثنا محمد بن سلمة عن محمد بن إسحاق عن مكحول عن محمود بن الربيع عن عبادة بن الصّامت</w:t>
        <w:br/>
      </w:r>
      <w:r>
        <w:rPr>
          <w:color w:val="000000"/>
          <w:rtl w:val="1"/>
        </w:rPr>
        <w:t xml:space="preserve">كنَّا خلْفَ رَسولِ الله ﷺ في صَلاةِ الفَجرِ، </w:t>
      </w:r>
      <w:r>
        <w:rPr>
          <w:color w:val="000000"/>
          <w:rtl w:val="1"/>
        </w:rPr>
        <w:t xml:space="preserve">فقرَأَ رَسولُ الله ﷺ فثَقُلَت عليه القِراءةُ، </w:t>
      </w:r>
      <w:r>
        <w:rPr>
          <w:color w:val="FF0000"/>
          <w:rtl w:val="1"/>
        </w:rPr>
        <w:t xml:space="preserve">فلمَّا فَرَغََ قال: «لَعلَّكم تَقرَؤُونَ خلفَ إمَامِكم؟» قلنا: نعَم، هذًّا يا رَسولَ الله. </w:t>
      </w:r>
      <w:r>
        <w:rPr>
          <w:color w:val="FF0000"/>
          <w:rtl w:val="1"/>
        </w:rPr>
        <w:t xml:space="preserve">قال: «لا تَفعَلُوا إلّا بفاتحةِ الكِتاب، فإنَّه لا صَلاةَ لِمَن لم يَقرَأْ بها».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القدرة والكفاية في أساليب التدريس ووسائله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قراءة غير الفاتحة مع الإمام في الصلاة الجهرية - ما ينهى عنه المأموم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